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18707" w14:textId="2EDAAE9E" w:rsidR="000D688C" w:rsidRDefault="004A7FA8" w:rsidP="006D6B2F">
      <w:pPr>
        <w:spacing w:after="0" w:line="240" w:lineRule="auto"/>
        <w:jc w:val="both"/>
        <w:rPr>
          <w:rFonts w:ascii="VELUX Transform Headline" w:eastAsia="Calibri" w:hAnsi="VELUX Transform Headline" w:cs="Times New Roman"/>
          <w:sz w:val="28"/>
        </w:rPr>
      </w:pPr>
      <w:r>
        <w:rPr>
          <w:rFonts w:ascii="VELUX Transform Headline" w:hAnsi="VELUX Transform Headline"/>
          <w:sz w:val="28"/>
        </w:rPr>
        <w:t>Un tiers des propriétaires suisses s’inquiètent de la hausse des coûts de l’énergie</w:t>
      </w:r>
    </w:p>
    <w:p w14:paraId="12B947F3" w14:textId="690A0393" w:rsidR="00CF3302" w:rsidRPr="002466EB" w:rsidRDefault="00CF3302" w:rsidP="006D6B2F">
      <w:pPr>
        <w:spacing w:after="0" w:line="240" w:lineRule="auto"/>
        <w:jc w:val="both"/>
        <w:rPr>
          <w:rFonts w:ascii="VELUX Transform Headline" w:eastAsia="Calibri" w:hAnsi="VELUX Transform Headline" w:cs="Times New Roman"/>
          <w:sz w:val="28"/>
        </w:rPr>
      </w:pPr>
    </w:p>
    <w:p w14:paraId="4038177D" w14:textId="06E9AF9A" w:rsidR="00CF3302" w:rsidRPr="00CF3302" w:rsidRDefault="00CF3302" w:rsidP="006D6B2F">
      <w:pPr>
        <w:spacing w:after="0" w:line="240" w:lineRule="auto"/>
        <w:jc w:val="both"/>
        <w:rPr>
          <w:rFonts w:ascii="VELUX Transform Headline" w:eastAsia="Calibri" w:hAnsi="VELUX Transform Headline" w:cs="Times New Roman"/>
          <w:sz w:val="24"/>
          <w:szCs w:val="24"/>
        </w:rPr>
      </w:pPr>
      <w:r>
        <w:rPr>
          <w:rFonts w:ascii="VELUX Transform Headline" w:hAnsi="VELUX Transform Headline"/>
          <w:sz w:val="24"/>
        </w:rPr>
        <w:t>Nouvelle étude Velux sur l’importance de l’efficacité énergétique dans son propre logement</w:t>
      </w:r>
    </w:p>
    <w:p w14:paraId="12454F92" w14:textId="77777777" w:rsidR="00CF3302" w:rsidRPr="002466EB" w:rsidRDefault="00CF3302" w:rsidP="006D6B2F">
      <w:pPr>
        <w:spacing w:after="0" w:line="240" w:lineRule="auto"/>
        <w:jc w:val="both"/>
        <w:rPr>
          <w:rFonts w:ascii="VELUXforOffice" w:eastAsia="Calibri" w:hAnsi="VELUXforOffice" w:cs="Times New Roman"/>
          <w:b/>
        </w:rPr>
      </w:pPr>
    </w:p>
    <w:p w14:paraId="74821C09" w14:textId="6515712C" w:rsidR="00CF3302" w:rsidRPr="00CF3302" w:rsidRDefault="00CF3302" w:rsidP="00CF3302">
      <w:pPr>
        <w:spacing w:after="0" w:line="240" w:lineRule="auto"/>
        <w:jc w:val="both"/>
        <w:rPr>
          <w:rFonts w:ascii="VELUX Transform" w:eastAsia="Calibri" w:hAnsi="VELUX Transform" w:cs="Times New Roman"/>
        </w:rPr>
      </w:pPr>
      <w:r>
        <w:rPr>
          <w:rFonts w:ascii="VELUX Transform" w:hAnsi="VELUX Transform"/>
          <w:b/>
        </w:rPr>
        <w:t>Aarburg, le 21 novembre 2023 :</w:t>
      </w:r>
      <w:r>
        <w:rPr>
          <w:rFonts w:ascii="VELUX Transform" w:hAnsi="VELUX Transform"/>
        </w:rPr>
        <w:t xml:space="preserve"> L’hiver approche et les températures chutent : pour les propriétaires, l’efficacité énergétique de leur logement sera particulièrement importante dans les mois à venir. Une enquête récente, commandée par Velux, auprès de 1000 propriétaires suisses montre qu’environ un tiers d’entre eux (33%) sont très, voire extrêmement préoccupés par l’augmentation des coûts de l’énergie, et que 38% sont également inquiets et préoccupés par les coûts plus élevés. Pourtant, la majorité d’entre eux vérifient rarement, voire jamais, l’efficacité énergétique de leur logement. Comment les propriétaires suisses peuvent-ils donc procéder pour économiser de l’énergie et quelles sont les mesures judicieuses à long terme ? </w:t>
      </w:r>
    </w:p>
    <w:p w14:paraId="3E7A6F85" w14:textId="77777777" w:rsidR="00CF3302" w:rsidRPr="002466EB" w:rsidRDefault="00CF3302" w:rsidP="00CF3302">
      <w:pPr>
        <w:spacing w:after="0" w:line="240" w:lineRule="auto"/>
        <w:jc w:val="both"/>
        <w:rPr>
          <w:rFonts w:ascii="VELUX Transform" w:eastAsia="Calibri" w:hAnsi="VELUX Transform" w:cs="Times New Roman"/>
        </w:rPr>
      </w:pPr>
    </w:p>
    <w:p w14:paraId="7A150AAB" w14:textId="22693D2E" w:rsidR="00CF3302" w:rsidRPr="00CF3302" w:rsidRDefault="00CF3302" w:rsidP="00CF3302">
      <w:pPr>
        <w:spacing w:after="0" w:line="240" w:lineRule="auto"/>
        <w:jc w:val="both"/>
        <w:rPr>
          <w:rFonts w:ascii="VELUX Transform" w:eastAsia="Calibri" w:hAnsi="VELUX Transform" w:cs="Times New Roman"/>
          <w:b/>
        </w:rPr>
      </w:pPr>
      <w:r>
        <w:rPr>
          <w:rFonts w:ascii="VELUX Transform" w:hAnsi="VELUX Transform"/>
          <w:b/>
        </w:rPr>
        <w:t>Économies d’énergie : les Suisses passent à l’action</w:t>
      </w:r>
    </w:p>
    <w:p w14:paraId="68239FCB" w14:textId="2B314A65" w:rsidR="004F7051" w:rsidRDefault="004A7FA8" w:rsidP="00CF3302">
      <w:pPr>
        <w:spacing w:after="0" w:line="240" w:lineRule="auto"/>
        <w:jc w:val="both"/>
        <w:rPr>
          <w:rFonts w:ascii="VELUX Transform" w:eastAsia="Calibri" w:hAnsi="VELUX Transform" w:cs="Times New Roman"/>
        </w:rPr>
      </w:pPr>
      <w:r>
        <w:rPr>
          <w:rFonts w:ascii="VELUX Transform" w:hAnsi="VELUX Transform"/>
        </w:rPr>
        <w:t xml:space="preserve">En matière d’économies d’énergie, la population suisse mise à la fois sur des solutions à court terme et sur des changements à long terme. 20% des personnes interrogées déclarent éteindre les radiateurs dans les pièces inutilisées. Pour 27% des participants, il est courant de fermer la porte des pièces inutilisées, tandis que 34% déclarent consommer régulièrement des boissons chaudes. Ces mesures immédiates sont utiles à court terme, mais elles ne sont pas durables et ont parfois un impact négatif sur les coûts énergétiques. En revanche, les modifications structurelles, c’est-à-dire une bonne isolation de l’enveloppe du bâtiment, fenêtres et portes comprises, offrent des avantages nettement plus intéressants et à plus long terme. Les propriétaires suisses en sont également conscients. Ainsi, 45% disent avoir déjà pris des mesures structurelles telles que le remplacement des fenêtres et fenêtres de toit (12%), ou des isolations supplémentaires dans les murs (9%). </w:t>
      </w:r>
    </w:p>
    <w:p w14:paraId="0BC8677D" w14:textId="33596752" w:rsidR="00CF3302" w:rsidRPr="002466EB" w:rsidRDefault="00CF3302" w:rsidP="00CF3302">
      <w:pPr>
        <w:spacing w:after="0" w:line="240" w:lineRule="auto"/>
        <w:jc w:val="both"/>
        <w:rPr>
          <w:rFonts w:ascii="VELUX Transform" w:eastAsia="Calibri" w:hAnsi="VELUX Transform" w:cs="Times New Roman"/>
        </w:rPr>
      </w:pPr>
    </w:p>
    <w:p w14:paraId="55913574" w14:textId="10BC404D" w:rsidR="00717B17" w:rsidRDefault="00BB787F" w:rsidP="00CF3302">
      <w:pPr>
        <w:spacing w:after="0" w:line="240" w:lineRule="auto"/>
        <w:jc w:val="both"/>
        <w:rPr>
          <w:rFonts w:ascii="VELUX Transform" w:eastAsia="Calibri" w:hAnsi="VELUX Transform" w:cs="Times New Roman"/>
        </w:rPr>
      </w:pPr>
      <w:r>
        <w:rPr>
          <w:rFonts w:ascii="VELUX Transform" w:hAnsi="VELUX Transform"/>
        </w:rPr>
        <w:t>Une grande partie des propriétaires suisses (42%) pensent que la majorité de la chaleur se perd par les fenêtres, alors que seuls 7% pensent que la majorité de la chaleur se perd par le toit et les fenêtres de toit. « Un toit insuffisamment isolé avec de vieilles fenêtres de toit mal isolées peut provoquer des pertes de chaleur qui entraînent une augmentation des coûts et une diminution du bien-être dans la maison », souligne Christina Brunner, experte en lumière naturelle et en planification chez Velux. « Nous perdons la plus grande partie de la chaleur par le toit, car la chaleur monte puis s’échappe. Il vaut donc la peine d’investir dans des mesures d’efficacité énergétique afin de garder l’air chaud à l’intérieur, surtout si l’on considère les basses températures hivernales et le prix élevé de l’énergie. »</w:t>
      </w:r>
    </w:p>
    <w:p w14:paraId="2236D684" w14:textId="204C5EE0" w:rsidR="00CF3302" w:rsidRPr="00CF3302" w:rsidRDefault="00CF3302" w:rsidP="00CF3302">
      <w:pPr>
        <w:spacing w:after="0" w:line="240" w:lineRule="auto"/>
        <w:jc w:val="both"/>
        <w:rPr>
          <w:rFonts w:ascii="VELUX Transform" w:eastAsia="Calibri" w:hAnsi="VELUX Transform" w:cs="Times New Roman"/>
        </w:rPr>
      </w:pPr>
      <w:r>
        <w:rPr>
          <w:rFonts w:ascii="VELUX Transform" w:hAnsi="VELUX Transform"/>
        </w:rPr>
        <w:t xml:space="preserve">Les personnes qui ont effectué des travaux de rénovation énergétique au cours des dix dernières années affirment que non seulement leur maison est plus efficace sur le plan énergétique (42%) et plus chaude pendant les mois froids (33%), mais qu’elles ont également réalisé des économies (36%) et que la valeur du bâtiment a augmenté (23%). Environ la moitié des personnes interrogées (49%) pensent que des travaux de rénovation leur permettraient d’économiser entre 6 et 20% sur leurs coûts énergétiques. Le montant des économies effectives dépend de différents facteurs et de l’ampleur des travaux de rénovation. Une </w:t>
      </w:r>
      <w:r>
        <w:rPr>
          <w:rFonts w:ascii="VELUX Transform" w:hAnsi="VELUX Transform"/>
        </w:rPr>
        <w:lastRenderedPageBreak/>
        <w:t>isolation supplémentaire de la façade, en particulier dans les bâtiments anciens, réduit la consommation d’énergie de 10 à 20%</w:t>
      </w:r>
      <w:r w:rsidR="008650CF">
        <w:rPr>
          <w:rStyle w:val="Funotenzeichen"/>
          <w:rFonts w:ascii="VELUX Transform" w:eastAsia="Calibri" w:hAnsi="VELUX Transform" w:cs="Times New Roman"/>
          <w:lang w:val="de-CH"/>
        </w:rPr>
        <w:footnoteReference w:id="1"/>
      </w:r>
      <w:r>
        <w:rPr>
          <w:rFonts w:ascii="VELUX Transform" w:hAnsi="VELUX Transform"/>
        </w:rPr>
        <w:t xml:space="preserve">. </w:t>
      </w:r>
    </w:p>
    <w:p w14:paraId="6C60AA6A" w14:textId="20FB8013" w:rsidR="00CF3302" w:rsidRPr="002466EB" w:rsidRDefault="00CF3302" w:rsidP="00CF3302">
      <w:pPr>
        <w:spacing w:after="0" w:line="240" w:lineRule="auto"/>
        <w:jc w:val="both"/>
        <w:rPr>
          <w:rFonts w:ascii="VELUX Transform" w:eastAsia="Calibri" w:hAnsi="VELUX Transform" w:cs="Times New Roman"/>
        </w:rPr>
      </w:pPr>
    </w:p>
    <w:p w14:paraId="53769D5E" w14:textId="77777777" w:rsidR="00CF3302" w:rsidRPr="00CF3302" w:rsidRDefault="00CF3302" w:rsidP="00CF3302">
      <w:pPr>
        <w:spacing w:after="0" w:line="240" w:lineRule="auto"/>
        <w:jc w:val="both"/>
        <w:rPr>
          <w:rFonts w:ascii="VELUX Transform" w:eastAsia="Calibri" w:hAnsi="VELUX Transform" w:cs="Times New Roman"/>
        </w:rPr>
      </w:pPr>
      <w:r>
        <w:rPr>
          <w:rFonts w:ascii="VELUX Transform" w:hAnsi="VELUX Transform"/>
        </w:rPr>
        <w:t> </w:t>
      </w:r>
    </w:p>
    <w:p w14:paraId="08800415" w14:textId="77777777" w:rsidR="00CF3302" w:rsidRPr="00CF3302" w:rsidRDefault="00CF3302" w:rsidP="00CF3302">
      <w:pPr>
        <w:spacing w:after="0" w:line="240" w:lineRule="auto"/>
        <w:jc w:val="both"/>
        <w:rPr>
          <w:rFonts w:ascii="VELUX Transform" w:eastAsia="Calibri" w:hAnsi="VELUX Transform" w:cs="Times New Roman"/>
          <w:b/>
        </w:rPr>
      </w:pPr>
      <w:r>
        <w:rPr>
          <w:rFonts w:ascii="VELUX Transform" w:hAnsi="VELUX Transform"/>
          <w:b/>
        </w:rPr>
        <w:t>Les propriétaires ont des lacunes concernant l’efficacité énergétique de leur logement</w:t>
      </w:r>
    </w:p>
    <w:p w14:paraId="32294071" w14:textId="0F4AC212" w:rsidR="00CF3302" w:rsidRPr="00CF3302" w:rsidRDefault="00CF3302" w:rsidP="00CF3302">
      <w:pPr>
        <w:spacing w:after="0" w:line="240" w:lineRule="auto"/>
        <w:jc w:val="both"/>
        <w:rPr>
          <w:rFonts w:ascii="VELUX Transform" w:eastAsia="Calibri" w:hAnsi="VELUX Transform" w:cs="Times New Roman"/>
        </w:rPr>
      </w:pPr>
      <w:r>
        <w:rPr>
          <w:rFonts w:ascii="VELUX Transform" w:hAnsi="VELUX Transform"/>
        </w:rPr>
        <w:t>Les toits, les fenêtres de toit, les fenêtres et les portes jouent un rôle crucial dans l’efficacité énergétique d’une maison. Pourtant, seuls 38% des propriétaires suisses osent les contrôler eux-mêmes. Dans un contexte d’augmentation des coûts, il est surprenant de constater que près d’un tiers (29%) des propriétaires n’ont jamais vérifié l’efficacité énergétique de leur logement. Négliger ces vérifications simples peut entraîner une facture énergétique plus élevée que nécessaire. Négliger ces vérifications simples peut entraîner une facture énergétique plus élevée que nécessaire.</w:t>
      </w:r>
    </w:p>
    <w:p w14:paraId="739A0C55" w14:textId="77777777" w:rsidR="00CF3302" w:rsidRPr="002466EB" w:rsidRDefault="00CF3302" w:rsidP="00CF3302">
      <w:pPr>
        <w:spacing w:after="0" w:line="240" w:lineRule="auto"/>
        <w:jc w:val="both"/>
        <w:rPr>
          <w:rFonts w:ascii="VELUX Transform" w:eastAsia="Calibri" w:hAnsi="VELUX Transform" w:cs="Times New Roman"/>
        </w:rPr>
      </w:pPr>
    </w:p>
    <w:p w14:paraId="77D81E8C" w14:textId="77777777" w:rsidR="00CF3302" w:rsidRPr="00CF3302" w:rsidRDefault="00CF3302" w:rsidP="00CF3302">
      <w:pPr>
        <w:spacing w:after="0" w:line="240" w:lineRule="auto"/>
        <w:jc w:val="both"/>
        <w:rPr>
          <w:rFonts w:ascii="VELUX Transform" w:eastAsia="Calibri" w:hAnsi="VELUX Transform" w:cs="Times New Roman"/>
          <w:b/>
        </w:rPr>
      </w:pPr>
      <w:r>
        <w:rPr>
          <w:rFonts w:ascii="VELUX Transform" w:hAnsi="VELUX Transform"/>
          <w:b/>
        </w:rPr>
        <w:t>9 conseils d’experts : check-list pour un bien-être accru à la maison</w:t>
      </w:r>
    </w:p>
    <w:p w14:paraId="3918E2DC" w14:textId="55E0ABDA" w:rsidR="00CF3302" w:rsidRPr="00CF3302" w:rsidRDefault="00E9037B" w:rsidP="00CF3302">
      <w:pPr>
        <w:spacing w:after="0" w:line="240" w:lineRule="auto"/>
        <w:jc w:val="both"/>
        <w:rPr>
          <w:rFonts w:ascii="VELUX Transform" w:eastAsia="Calibri" w:hAnsi="VELUX Transform" w:cs="Times New Roman"/>
        </w:rPr>
      </w:pPr>
      <w:r>
        <w:rPr>
          <w:rFonts w:ascii="VELUX Transform" w:hAnsi="VELUX Transform"/>
        </w:rPr>
        <w:t xml:space="preserve">19% des personnes interrogées se sentent plus mal à l’aise chez elles lorsque les températures intérieures sont froides. Elles estiment également que les moisissures (23%) et l’humidité (23%) rendent leur logement inconfortable. Ce sont des signes d’une aération insuffisante ou, au contraire, de fenêtres mal isolées. </w:t>
      </w:r>
    </w:p>
    <w:p w14:paraId="0AC3F176" w14:textId="77777777" w:rsidR="00CF3302" w:rsidRPr="002466EB" w:rsidRDefault="00CF3302" w:rsidP="00CF3302">
      <w:pPr>
        <w:spacing w:after="0" w:line="240" w:lineRule="auto"/>
        <w:jc w:val="both"/>
        <w:rPr>
          <w:rFonts w:ascii="VELUX Transform" w:eastAsia="Calibri" w:hAnsi="VELUX Transform" w:cs="Times New Roman"/>
        </w:rPr>
      </w:pPr>
    </w:p>
    <w:p w14:paraId="1A12DFB0" w14:textId="15060022" w:rsidR="00CF3302" w:rsidRPr="00CF3302" w:rsidRDefault="00CF3302" w:rsidP="00CF3302">
      <w:pPr>
        <w:spacing w:after="0" w:line="240" w:lineRule="auto"/>
        <w:jc w:val="both"/>
        <w:rPr>
          <w:rFonts w:ascii="VELUX Transform" w:eastAsia="Calibri" w:hAnsi="VELUX Transform" w:cs="Times New Roman"/>
        </w:rPr>
      </w:pPr>
      <w:r>
        <w:rPr>
          <w:rFonts w:ascii="VELUX Transform" w:hAnsi="VELUX Transform"/>
        </w:rPr>
        <w:t>Christina Brunner, experte Velux, donne quelques conseils qui peuvent aider à vérifier l’efficacité énergétique des fenêtres :</w:t>
      </w:r>
    </w:p>
    <w:p w14:paraId="611C0FAB" w14:textId="77777777" w:rsidR="00CF3302" w:rsidRPr="002466EB" w:rsidRDefault="00CF3302" w:rsidP="00CF3302">
      <w:pPr>
        <w:spacing w:after="0" w:line="240" w:lineRule="auto"/>
        <w:jc w:val="both"/>
        <w:rPr>
          <w:rFonts w:ascii="VELUX Transform" w:eastAsia="Calibri" w:hAnsi="VELUX Transform" w:cs="Times New Roman"/>
        </w:rPr>
      </w:pPr>
    </w:p>
    <w:p w14:paraId="0C91FDD3" w14:textId="3FA72BFB" w:rsidR="00CF3302" w:rsidRPr="00CF3302" w:rsidRDefault="00CF3302" w:rsidP="00CF3302">
      <w:pPr>
        <w:pStyle w:val="Listenabsatz"/>
        <w:numPr>
          <w:ilvl w:val="0"/>
          <w:numId w:val="1"/>
        </w:numPr>
        <w:spacing w:after="0" w:line="240" w:lineRule="auto"/>
        <w:jc w:val="both"/>
        <w:rPr>
          <w:rFonts w:ascii="VELUX Transform" w:eastAsia="Calibri" w:hAnsi="VELUX Transform" w:cs="Times New Roman"/>
        </w:rPr>
      </w:pPr>
      <w:r>
        <w:rPr>
          <w:rFonts w:ascii="VELUX Transform" w:hAnsi="VELUX Transform"/>
        </w:rPr>
        <w:t>Les courants d’air et l’air frais sont des signes évidents de fenêtres ou de portes non étanches.</w:t>
      </w:r>
    </w:p>
    <w:p w14:paraId="57C32DF1" w14:textId="3B19C176" w:rsidR="00CF3302" w:rsidRPr="00CF3302" w:rsidRDefault="00CF3302" w:rsidP="00CF3302">
      <w:pPr>
        <w:pStyle w:val="Listenabsatz"/>
        <w:numPr>
          <w:ilvl w:val="0"/>
          <w:numId w:val="1"/>
        </w:numPr>
        <w:spacing w:after="0" w:line="240" w:lineRule="auto"/>
        <w:jc w:val="both"/>
        <w:rPr>
          <w:rFonts w:ascii="VELUX Transform" w:eastAsia="Calibri" w:hAnsi="VELUX Transform" w:cs="Times New Roman"/>
        </w:rPr>
      </w:pPr>
      <w:r>
        <w:rPr>
          <w:rFonts w:ascii="VELUX Transform" w:hAnsi="VELUX Transform"/>
        </w:rPr>
        <w:t>Les différences de température entre les différentes pièces devraient être contrôlées à l’aide d’un thermomètre.</w:t>
      </w:r>
    </w:p>
    <w:p w14:paraId="75C6496B" w14:textId="02CCEEB4" w:rsidR="00CF3302" w:rsidRPr="00CF3302" w:rsidRDefault="00CF3302" w:rsidP="00CF3302">
      <w:pPr>
        <w:pStyle w:val="Listenabsatz"/>
        <w:numPr>
          <w:ilvl w:val="0"/>
          <w:numId w:val="1"/>
        </w:numPr>
        <w:spacing w:after="0" w:line="240" w:lineRule="auto"/>
        <w:jc w:val="both"/>
        <w:rPr>
          <w:rFonts w:ascii="VELUX Transform" w:eastAsia="Calibri" w:hAnsi="VELUX Transform" w:cs="Times New Roman"/>
        </w:rPr>
      </w:pPr>
      <w:r>
        <w:rPr>
          <w:rFonts w:ascii="VELUX Transform" w:hAnsi="VELUX Transform"/>
        </w:rPr>
        <w:t>Il ne devrait pas y avoir d’espace dans la fenêtre entre le cadre du battant et le vitrage.</w:t>
      </w:r>
    </w:p>
    <w:p w14:paraId="52FB8A07" w14:textId="3AADEAC3" w:rsidR="00CF3302" w:rsidRPr="00CF3302" w:rsidRDefault="00CF3302" w:rsidP="00CF3302">
      <w:pPr>
        <w:pStyle w:val="Listenabsatz"/>
        <w:numPr>
          <w:ilvl w:val="0"/>
          <w:numId w:val="1"/>
        </w:numPr>
        <w:spacing w:after="0" w:line="240" w:lineRule="auto"/>
        <w:jc w:val="both"/>
        <w:rPr>
          <w:rFonts w:ascii="VELUX Transform" w:eastAsia="Calibri" w:hAnsi="VELUX Transform" w:cs="Times New Roman"/>
        </w:rPr>
      </w:pPr>
      <w:r>
        <w:rPr>
          <w:rFonts w:ascii="VELUX Transform" w:hAnsi="VELUX Transform"/>
        </w:rPr>
        <w:t>La formation de moisissures est un important signe d’avertissement.</w:t>
      </w:r>
    </w:p>
    <w:p w14:paraId="16EB07A3" w14:textId="06F1BD1B" w:rsidR="00CF3302" w:rsidRPr="00CF3302" w:rsidRDefault="00CF3302" w:rsidP="00CF3302">
      <w:pPr>
        <w:pStyle w:val="Listenabsatz"/>
        <w:numPr>
          <w:ilvl w:val="0"/>
          <w:numId w:val="1"/>
        </w:numPr>
        <w:spacing w:after="0" w:line="240" w:lineRule="auto"/>
        <w:jc w:val="both"/>
        <w:rPr>
          <w:rFonts w:ascii="VELUX Transform" w:eastAsia="Calibri" w:hAnsi="VELUX Transform" w:cs="Times New Roman"/>
        </w:rPr>
      </w:pPr>
      <w:r>
        <w:rPr>
          <w:rFonts w:ascii="VELUX Transform" w:hAnsi="VELUX Transform"/>
        </w:rPr>
        <w:t>Les fenêtres doivent être étanches à 100%, même en cas de fortes pluies ou de tempêtes.</w:t>
      </w:r>
    </w:p>
    <w:p w14:paraId="5190AA91" w14:textId="195AB4FD" w:rsidR="00CF3302" w:rsidRPr="00CF3302" w:rsidRDefault="00CF3302" w:rsidP="00CF3302">
      <w:pPr>
        <w:pStyle w:val="Listenabsatz"/>
        <w:numPr>
          <w:ilvl w:val="0"/>
          <w:numId w:val="1"/>
        </w:numPr>
        <w:spacing w:after="0" w:line="240" w:lineRule="auto"/>
        <w:jc w:val="both"/>
        <w:rPr>
          <w:rFonts w:ascii="VELUX Transform" w:eastAsia="Calibri" w:hAnsi="VELUX Transform" w:cs="Times New Roman"/>
        </w:rPr>
      </w:pPr>
      <w:r>
        <w:rPr>
          <w:rFonts w:ascii="VELUX Transform" w:hAnsi="VELUX Transform"/>
        </w:rPr>
        <w:t>Si les fenêtres ne s’ouvrent ou ne se ferment plus sans forcer, c’est un indicateur de cadres de fenêtres déformés.</w:t>
      </w:r>
    </w:p>
    <w:p w14:paraId="35EC58EA" w14:textId="0D5122B9" w:rsidR="00CF3302" w:rsidRPr="00CF3302" w:rsidRDefault="00CF3302" w:rsidP="00CF3302">
      <w:pPr>
        <w:pStyle w:val="Listenabsatz"/>
        <w:numPr>
          <w:ilvl w:val="0"/>
          <w:numId w:val="1"/>
        </w:numPr>
        <w:spacing w:after="0" w:line="240" w:lineRule="auto"/>
        <w:jc w:val="both"/>
        <w:rPr>
          <w:rFonts w:ascii="VELUX Transform" w:eastAsia="Calibri" w:hAnsi="VELUX Transform" w:cs="Times New Roman"/>
        </w:rPr>
      </w:pPr>
      <w:r>
        <w:rPr>
          <w:rFonts w:ascii="VELUX Transform" w:hAnsi="VELUX Transform"/>
        </w:rPr>
        <w:t>La condensation est généralement le signe d’une aération insuffisante.</w:t>
      </w:r>
    </w:p>
    <w:p w14:paraId="471BD37D" w14:textId="2FE60FE5" w:rsidR="00CF3302" w:rsidRPr="00CF3302" w:rsidRDefault="00CF3302" w:rsidP="00CF3302">
      <w:pPr>
        <w:pStyle w:val="Listenabsatz"/>
        <w:numPr>
          <w:ilvl w:val="0"/>
          <w:numId w:val="1"/>
        </w:numPr>
        <w:spacing w:after="0" w:line="240" w:lineRule="auto"/>
        <w:jc w:val="both"/>
        <w:rPr>
          <w:rFonts w:ascii="VELUX Transform" w:eastAsia="Calibri" w:hAnsi="VELUX Transform" w:cs="Times New Roman"/>
        </w:rPr>
      </w:pPr>
      <w:r>
        <w:rPr>
          <w:rFonts w:ascii="VELUX Transform" w:hAnsi="VELUX Transform"/>
        </w:rPr>
        <w:t xml:space="preserve">Test de la bougie : en allumant une bougie à côté de la fenêtre, il est possible de vérifier si la fenêtre est étanche en observant la flamme. </w:t>
      </w:r>
    </w:p>
    <w:p w14:paraId="118D2B05" w14:textId="1A55CA6C" w:rsidR="00CF3302" w:rsidRPr="00CF3302" w:rsidRDefault="00CF3302" w:rsidP="00CF3302">
      <w:pPr>
        <w:pStyle w:val="Listenabsatz"/>
        <w:numPr>
          <w:ilvl w:val="0"/>
          <w:numId w:val="1"/>
        </w:numPr>
        <w:spacing w:after="0" w:line="240" w:lineRule="auto"/>
        <w:jc w:val="both"/>
        <w:rPr>
          <w:rFonts w:ascii="VELUX Transform" w:eastAsia="Calibri" w:hAnsi="VELUX Transform" w:cs="Times New Roman"/>
        </w:rPr>
      </w:pPr>
      <w:r>
        <w:rPr>
          <w:rFonts w:ascii="VELUX Transform" w:hAnsi="VELUX Transform"/>
        </w:rPr>
        <w:t xml:space="preserve">Test du papier : si une feuille de papier coincée entre la fenêtre et le cadre peut être retirée, c’est également un indicateur de fenêtres qui ne ferment pas bien. </w:t>
      </w:r>
    </w:p>
    <w:p w14:paraId="6FB812AA" w14:textId="77777777" w:rsidR="00CF3302" w:rsidRPr="002466EB" w:rsidRDefault="00CF3302" w:rsidP="00CF3302">
      <w:pPr>
        <w:spacing w:after="0" w:line="240" w:lineRule="auto"/>
        <w:jc w:val="both"/>
        <w:rPr>
          <w:rFonts w:ascii="VELUX Transform" w:eastAsia="Calibri" w:hAnsi="VELUX Transform" w:cs="Times New Roman"/>
        </w:rPr>
      </w:pPr>
    </w:p>
    <w:p w14:paraId="03B0F846" w14:textId="571250BA" w:rsidR="00CF3302" w:rsidRPr="00CF3302" w:rsidRDefault="00CF3302" w:rsidP="00CF3302">
      <w:pPr>
        <w:spacing w:after="0" w:line="240" w:lineRule="auto"/>
        <w:jc w:val="both"/>
        <w:rPr>
          <w:rFonts w:ascii="VELUX Transform" w:eastAsia="Calibri" w:hAnsi="VELUX Transform" w:cs="Times New Roman"/>
        </w:rPr>
      </w:pPr>
      <w:r>
        <w:rPr>
          <w:rFonts w:ascii="VELUX Transform" w:hAnsi="VELUX Transform"/>
        </w:rPr>
        <w:t xml:space="preserve">« Vous pouvez faire appel au service complet Velux si vous avez besoin d’aide lors de la planification ou de la mise en œuvre pour le remplacement de fenêtres de toit. Notre mission est de soutenir les clientes et clients, du rendez-vous de conseil à domicile à la planification du projet et à la mise en relation avec des entreprises artisanales. En remplaçant, par exemple, </w:t>
      </w:r>
      <w:r>
        <w:rPr>
          <w:rFonts w:ascii="VELUX Transform" w:hAnsi="VELUX Transform"/>
        </w:rPr>
        <w:lastRenderedPageBreak/>
        <w:t xml:space="preserve">des fenêtres de toit vieilles de 20 ans par de nouvelles fenêtres, les pertes d’énergie peuvent être réduites jusqu’à 50% », explique Christina Brunner. </w:t>
      </w:r>
    </w:p>
    <w:p w14:paraId="37315A4A" w14:textId="77777777" w:rsidR="00CF3302" w:rsidRPr="002466EB" w:rsidRDefault="00CF3302" w:rsidP="00CF3302">
      <w:pPr>
        <w:spacing w:after="0" w:line="240" w:lineRule="auto"/>
        <w:jc w:val="both"/>
        <w:rPr>
          <w:rFonts w:ascii="VELUX Transform" w:eastAsia="Calibri" w:hAnsi="VELUX Transform" w:cs="Times New Roman"/>
        </w:rPr>
      </w:pPr>
    </w:p>
    <w:p w14:paraId="7B619FF2" w14:textId="77777777" w:rsidR="00CF3302" w:rsidRPr="00CF3302" w:rsidRDefault="00CF3302" w:rsidP="00CF3302">
      <w:pPr>
        <w:spacing w:after="0" w:line="240" w:lineRule="auto"/>
        <w:jc w:val="both"/>
        <w:rPr>
          <w:rFonts w:ascii="VELUX Transform" w:eastAsia="Calibri" w:hAnsi="VELUX Transform" w:cs="Times New Roman"/>
        </w:rPr>
      </w:pPr>
      <w:r>
        <w:rPr>
          <w:rFonts w:ascii="VELUX Transform" w:hAnsi="VELUX Transform"/>
        </w:rPr>
        <w:t> </w:t>
      </w:r>
    </w:p>
    <w:p w14:paraId="6B4209A9" w14:textId="77777777" w:rsidR="00CF3302" w:rsidRPr="00CF3302" w:rsidRDefault="00CF3302" w:rsidP="00CF3302">
      <w:pPr>
        <w:spacing w:after="0" w:line="240" w:lineRule="auto"/>
        <w:jc w:val="both"/>
        <w:rPr>
          <w:rFonts w:ascii="VELUX Transform" w:eastAsia="Calibri" w:hAnsi="VELUX Transform" w:cs="Times New Roman"/>
          <w:lang w:val="de-CH"/>
        </w:rPr>
      </w:pPr>
    </w:p>
    <w:p w14:paraId="5F79973F" w14:textId="77777777" w:rsidR="00CF3302" w:rsidRPr="00CF3302" w:rsidRDefault="00CF3302" w:rsidP="00CF3302">
      <w:pPr>
        <w:spacing w:after="0" w:line="240" w:lineRule="auto"/>
        <w:jc w:val="both"/>
        <w:rPr>
          <w:rFonts w:ascii="VELUX Transform" w:eastAsia="Calibri" w:hAnsi="VELUX Transform" w:cs="Times New Roman"/>
        </w:rPr>
      </w:pPr>
      <w:r>
        <w:rPr>
          <w:rFonts w:ascii="VELUX Transform" w:hAnsi="VELUX Transform"/>
        </w:rPr>
        <w:t xml:space="preserve">À propos de l’étude : </w:t>
      </w:r>
    </w:p>
    <w:p w14:paraId="2982241F" w14:textId="09D18926" w:rsidR="001C4B81" w:rsidRDefault="00CF3302" w:rsidP="00CF3302">
      <w:pPr>
        <w:spacing w:after="0" w:line="240" w:lineRule="auto"/>
        <w:jc w:val="both"/>
        <w:rPr>
          <w:rFonts w:ascii="VELUX Transform" w:eastAsia="Calibri" w:hAnsi="VELUX Transform" w:cs="Times New Roman"/>
        </w:rPr>
      </w:pPr>
      <w:proofErr w:type="gramStart"/>
      <w:r>
        <w:rPr>
          <w:rFonts w:ascii="VELUX Transform" w:hAnsi="VELUX Transform"/>
        </w:rPr>
        <w:t>cette</w:t>
      </w:r>
      <w:proofErr w:type="gramEnd"/>
      <w:r>
        <w:rPr>
          <w:rFonts w:ascii="VELUX Transform" w:hAnsi="VELUX Transform"/>
        </w:rPr>
        <w:t xml:space="preserve"> enquête a été réalisée auprès de 1000 propriétaires suisses en octobre 2023 par </w:t>
      </w:r>
      <w:proofErr w:type="spellStart"/>
      <w:r>
        <w:rPr>
          <w:rFonts w:ascii="VELUX Transform" w:hAnsi="VELUX Transform"/>
        </w:rPr>
        <w:t>OnePoll</w:t>
      </w:r>
      <w:proofErr w:type="spellEnd"/>
      <w:r>
        <w:rPr>
          <w:rFonts w:ascii="VELUX Transform" w:hAnsi="VELUX Transform"/>
        </w:rPr>
        <w:t>, à la demande de Velux.</w:t>
      </w:r>
    </w:p>
    <w:p w14:paraId="57C884D4" w14:textId="77777777" w:rsidR="00CF3302" w:rsidRPr="002466EB" w:rsidRDefault="00CF3302" w:rsidP="00CF3302">
      <w:pPr>
        <w:spacing w:after="0" w:line="240" w:lineRule="auto"/>
        <w:jc w:val="both"/>
        <w:rPr>
          <w:rFonts w:ascii="VELUX Transform" w:eastAsia="Calibri" w:hAnsi="VELUX Transform" w:cs="Times New Roman"/>
        </w:rPr>
      </w:pPr>
    </w:p>
    <w:p w14:paraId="0D92C5F4" w14:textId="1FFDAE35" w:rsidR="001C4B81" w:rsidRPr="009B7C9E" w:rsidRDefault="001C4B81" w:rsidP="009F14CE">
      <w:pPr>
        <w:spacing w:after="0" w:line="240" w:lineRule="auto"/>
        <w:jc w:val="both"/>
        <w:rPr>
          <w:rFonts w:ascii="VELUX Transform" w:eastAsia="Calibri" w:hAnsi="VELUX Transform" w:cs="Times New Roman"/>
        </w:rPr>
      </w:pPr>
      <w:r>
        <w:t xml:space="preserve">Vous trouverez du matériel photo dans la </w:t>
      </w:r>
      <w:hyperlink r:id="rId11" w:history="1">
        <w:proofErr w:type="spellStart"/>
        <w:r>
          <w:rPr>
            <w:rStyle w:val="Hyperlink"/>
            <w:rFonts w:ascii="VELUX Transform" w:hAnsi="VELUX Transform"/>
          </w:rPr>
          <w:t>newsroom</w:t>
        </w:r>
        <w:proofErr w:type="spellEnd"/>
        <w:r>
          <w:rPr>
            <w:rStyle w:val="Hyperlink"/>
            <w:rFonts w:ascii="VELUX Transform" w:hAnsi="VELUX Transform"/>
          </w:rPr>
          <w:t xml:space="preserve"> Velux</w:t>
        </w:r>
      </w:hyperlink>
      <w:bookmarkStart w:id="0" w:name="_GoBack"/>
      <w:bookmarkEnd w:id="0"/>
      <w:r>
        <w:rPr>
          <w:rFonts w:ascii="VELUX Transform" w:hAnsi="VELUX Transform"/>
        </w:rPr>
        <w:t>.</w:t>
      </w:r>
    </w:p>
    <w:p w14:paraId="4014D126" w14:textId="5390B7B1" w:rsidR="00DB7667" w:rsidRPr="002466EB" w:rsidRDefault="00DB7667" w:rsidP="007D05A0">
      <w:pPr>
        <w:rPr>
          <w:rFonts w:ascii="VELUX Transform" w:eastAsia="Calibri" w:hAnsi="VELUX Transform" w:cs="Times New Roman"/>
        </w:rPr>
      </w:pPr>
    </w:p>
    <w:p w14:paraId="122180FE" w14:textId="77777777" w:rsidR="00B11C28" w:rsidRPr="002466EB" w:rsidRDefault="00B11C28" w:rsidP="00B11C28">
      <w:pPr>
        <w:pBdr>
          <w:bottom w:val="single" w:sz="4" w:space="1" w:color="auto"/>
        </w:pBdr>
        <w:spacing w:line="240" w:lineRule="auto"/>
      </w:pPr>
    </w:p>
    <w:p w14:paraId="1E1977E9" w14:textId="77777777" w:rsidR="000053E5" w:rsidRDefault="000053E5" w:rsidP="000053E5">
      <w:pPr>
        <w:spacing w:line="240" w:lineRule="auto"/>
        <w:ind w:right="-1"/>
        <w:jc w:val="both"/>
        <w:textAlignment w:val="baseline"/>
        <w:rPr>
          <w:rFonts w:ascii="VELUX Transform" w:hAnsi="VELUX Transform" w:cs="Arial"/>
          <w:b/>
          <w:bCs/>
          <w:sz w:val="20"/>
          <w:szCs w:val="20"/>
          <w:lang w:eastAsia="zh-CN"/>
        </w:rPr>
      </w:pPr>
      <w:r>
        <w:rPr>
          <w:rFonts w:ascii="VELUX Transform" w:hAnsi="VELUX Transform" w:cs="Arial"/>
          <w:b/>
          <w:bCs/>
          <w:sz w:val="20"/>
          <w:szCs w:val="20"/>
          <w:lang w:eastAsia="zh-CN"/>
        </w:rPr>
        <w:t>Contact médias</w:t>
      </w:r>
    </w:p>
    <w:p w14:paraId="5219F478" w14:textId="77777777" w:rsidR="000053E5" w:rsidRDefault="000053E5" w:rsidP="000053E5">
      <w:pPr>
        <w:spacing w:line="240" w:lineRule="auto"/>
        <w:ind w:right="-1"/>
        <w:jc w:val="both"/>
        <w:textAlignment w:val="baseline"/>
        <w:rPr>
          <w:rFonts w:ascii="VELUX Transform" w:hAnsi="VELUX Transform" w:cs="Arial"/>
          <w:sz w:val="20"/>
          <w:szCs w:val="20"/>
        </w:rPr>
      </w:pPr>
      <w:r>
        <w:rPr>
          <w:rFonts w:ascii="VELUX Transform" w:hAnsi="VELUX Transform" w:cs="Arial"/>
          <w:sz w:val="20"/>
          <w:szCs w:val="20"/>
        </w:rPr>
        <w:t>Pour de plus amples informations sur Living Places, des demandes d’interviews ou une visite sur place à Copenhague, veuillez contacter :</w:t>
      </w:r>
    </w:p>
    <w:p w14:paraId="48C47CBB" w14:textId="77777777" w:rsidR="000053E5" w:rsidRDefault="000053E5" w:rsidP="000053E5">
      <w:pPr>
        <w:spacing w:line="240" w:lineRule="auto"/>
        <w:ind w:right="-1"/>
        <w:jc w:val="both"/>
        <w:textAlignment w:val="baseline"/>
        <w:rPr>
          <w:rFonts w:ascii="VELUX Transform" w:hAnsi="VELUX Transform" w:cs="Arial"/>
          <w:sz w:val="20"/>
          <w:szCs w:val="20"/>
        </w:rPr>
      </w:pPr>
    </w:p>
    <w:tbl>
      <w:tblPr>
        <w:tblW w:w="2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5"/>
      </w:tblGrid>
      <w:tr w:rsidR="000053E5" w14:paraId="58B91D20" w14:textId="77777777" w:rsidTr="000053E5">
        <w:trPr>
          <w:trHeight w:val="1589"/>
        </w:trPr>
        <w:tc>
          <w:tcPr>
            <w:tcW w:w="2325" w:type="dxa"/>
            <w:tcBorders>
              <w:top w:val="nil"/>
              <w:left w:val="nil"/>
              <w:bottom w:val="nil"/>
              <w:right w:val="nil"/>
            </w:tcBorders>
            <w:hideMark/>
          </w:tcPr>
          <w:p w14:paraId="34F1E34F" w14:textId="77777777" w:rsidR="000053E5" w:rsidRDefault="000053E5">
            <w:pPr>
              <w:spacing w:after="0" w:line="240" w:lineRule="auto"/>
              <w:ind w:right="-1"/>
              <w:jc w:val="both"/>
              <w:textAlignment w:val="baseline"/>
              <w:rPr>
                <w:rFonts w:ascii="VELUX Transform" w:hAnsi="VELUX Transform" w:cs="Arial"/>
                <w:sz w:val="20"/>
                <w:szCs w:val="20"/>
                <w:lang w:eastAsia="zh-CN"/>
              </w:rPr>
            </w:pPr>
            <w:proofErr w:type="spellStart"/>
            <w:r>
              <w:rPr>
                <w:rFonts w:ascii="VELUX Transform" w:hAnsi="VELUX Transform" w:cs="Arial"/>
                <w:sz w:val="20"/>
                <w:szCs w:val="20"/>
                <w:lang w:eastAsia="zh-CN"/>
              </w:rPr>
              <w:t>PRfact</w:t>
            </w:r>
            <w:proofErr w:type="spellEnd"/>
            <w:r>
              <w:rPr>
                <w:rFonts w:ascii="VELUX Transform" w:hAnsi="VELUX Transform" w:cs="Arial"/>
                <w:sz w:val="20"/>
                <w:szCs w:val="20"/>
                <w:lang w:eastAsia="zh-CN"/>
              </w:rPr>
              <w:t xml:space="preserve"> SA </w:t>
            </w:r>
          </w:p>
          <w:p w14:paraId="3EAA0B37" w14:textId="77777777" w:rsidR="000053E5" w:rsidRDefault="000053E5">
            <w:pPr>
              <w:spacing w:after="0" w:line="240" w:lineRule="auto"/>
              <w:ind w:right="-1"/>
              <w:jc w:val="both"/>
              <w:textAlignment w:val="baseline"/>
              <w:rPr>
                <w:rFonts w:ascii="VELUX Transform" w:hAnsi="VELUX Transform" w:cs="Arial"/>
                <w:sz w:val="20"/>
                <w:szCs w:val="20"/>
                <w:lang w:val="da-DK" w:eastAsia="zh-CN"/>
              </w:rPr>
            </w:pPr>
            <w:r>
              <w:rPr>
                <w:rFonts w:ascii="VELUX Transform" w:hAnsi="VELUX Transform" w:cs="Arial"/>
                <w:sz w:val="20"/>
                <w:szCs w:val="20"/>
                <w:lang w:eastAsia="zh-CN"/>
              </w:rPr>
              <w:t xml:space="preserve">Samuel Bürki </w:t>
            </w:r>
          </w:p>
          <w:p w14:paraId="1C7D1BB1" w14:textId="77777777" w:rsidR="000053E5" w:rsidRDefault="000053E5">
            <w:pPr>
              <w:spacing w:after="0" w:line="240" w:lineRule="auto"/>
              <w:ind w:right="-1"/>
              <w:jc w:val="both"/>
              <w:textAlignment w:val="baseline"/>
              <w:rPr>
                <w:rFonts w:ascii="VELUX Transform" w:hAnsi="VELUX Transform" w:cs="Arial"/>
                <w:sz w:val="20"/>
                <w:szCs w:val="20"/>
                <w:lang w:eastAsia="zh-CN"/>
              </w:rPr>
            </w:pPr>
            <w:proofErr w:type="spellStart"/>
            <w:r>
              <w:rPr>
                <w:rFonts w:ascii="VELUX Transform" w:hAnsi="VELUX Transform" w:cs="Arial"/>
                <w:sz w:val="20"/>
                <w:szCs w:val="20"/>
                <w:lang w:eastAsia="zh-CN"/>
              </w:rPr>
              <w:t>Seefeldstrasse</w:t>
            </w:r>
            <w:proofErr w:type="spellEnd"/>
            <w:r>
              <w:rPr>
                <w:rFonts w:ascii="VELUX Transform" w:hAnsi="VELUX Transform" w:cs="Arial"/>
                <w:sz w:val="20"/>
                <w:szCs w:val="20"/>
                <w:lang w:eastAsia="zh-CN"/>
              </w:rPr>
              <w:t xml:space="preserve"> 229  </w:t>
            </w:r>
          </w:p>
          <w:p w14:paraId="069C1F8F" w14:textId="77777777" w:rsidR="000053E5" w:rsidRDefault="000053E5">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8008 Zurich  </w:t>
            </w:r>
          </w:p>
          <w:p w14:paraId="2E7364A7" w14:textId="77777777" w:rsidR="000053E5" w:rsidRDefault="000053E5">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Tél.: +41 43 322 01 10 </w:t>
            </w:r>
          </w:p>
          <w:p w14:paraId="1BE91AE2" w14:textId="77777777" w:rsidR="000053E5" w:rsidRDefault="000053E5">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Mail: </w:t>
            </w:r>
            <w:hyperlink r:id="rId12" w:history="1">
              <w:r>
                <w:rPr>
                  <w:rStyle w:val="Hyperlink"/>
                  <w:rFonts w:ascii="VELUX Transform" w:hAnsi="VELUX Transform" w:cs="Arial"/>
                  <w:sz w:val="20"/>
                  <w:szCs w:val="20"/>
                  <w:lang w:eastAsia="zh-CN"/>
                </w:rPr>
                <w:t>velux@prfact.ch</w:t>
              </w:r>
            </w:hyperlink>
          </w:p>
        </w:tc>
      </w:tr>
    </w:tbl>
    <w:p w14:paraId="509F4A56" w14:textId="77777777" w:rsidR="000053E5" w:rsidRDefault="000053E5" w:rsidP="000053E5">
      <w:pPr>
        <w:pBdr>
          <w:bottom w:val="single" w:sz="4" w:space="1" w:color="000000"/>
        </w:pBdr>
        <w:spacing w:line="206" w:lineRule="atLeast"/>
        <w:ind w:right="-1"/>
        <w:jc w:val="both"/>
        <w:rPr>
          <w:rFonts w:ascii="VELUX Transform" w:hAnsi="VELUX Transform" w:cs="Arial"/>
          <w:bCs/>
          <w:color w:val="000000" w:themeColor="text1"/>
          <w:sz w:val="20"/>
          <w:szCs w:val="20"/>
          <w:lang w:eastAsia="de-DE"/>
        </w:rPr>
      </w:pPr>
    </w:p>
    <w:p w14:paraId="09F3ACCC" w14:textId="77777777" w:rsidR="000053E5" w:rsidRDefault="000053E5" w:rsidP="000053E5">
      <w:pPr>
        <w:spacing w:after="0" w:line="240" w:lineRule="auto"/>
        <w:jc w:val="both"/>
        <w:rPr>
          <w:rFonts w:ascii="VELUXforOffice" w:eastAsia="Calibri" w:hAnsi="VELUXforOffice" w:cs="Times New Roman"/>
        </w:rPr>
      </w:pPr>
    </w:p>
    <w:p w14:paraId="6438C2A2" w14:textId="77777777" w:rsidR="000053E5" w:rsidRDefault="000053E5" w:rsidP="000053E5">
      <w:pPr>
        <w:spacing w:line="240" w:lineRule="auto"/>
        <w:ind w:right="-1"/>
        <w:jc w:val="both"/>
        <w:rPr>
          <w:rFonts w:ascii="VELUX Transform" w:hAnsi="VELUX Transform" w:cs="Arial"/>
          <w:b/>
          <w:bCs/>
          <w:color w:val="000000" w:themeColor="text1"/>
          <w:sz w:val="20"/>
          <w:szCs w:val="20"/>
          <w:lang w:val="da-DK"/>
        </w:rPr>
      </w:pPr>
      <w:r>
        <w:rPr>
          <w:rFonts w:ascii="VELUX Transform" w:hAnsi="VELUX Transform" w:cs="Arial"/>
          <w:b/>
          <w:bCs/>
          <w:color w:val="000000" w:themeColor="text1"/>
          <w:sz w:val="20"/>
          <w:szCs w:val="20"/>
        </w:rPr>
        <w:t>A propos de Velux Suisse SA</w:t>
      </w:r>
    </w:p>
    <w:p w14:paraId="708FA75A" w14:textId="77777777" w:rsidR="000053E5" w:rsidRDefault="000053E5" w:rsidP="000053E5">
      <w:pPr>
        <w:spacing w:line="240" w:lineRule="auto"/>
        <w:ind w:right="-1"/>
        <w:jc w:val="both"/>
        <w:rPr>
          <w:rFonts w:ascii="VELUX Transform" w:hAnsi="VELUX Transform" w:cs="Arial"/>
          <w:bCs/>
          <w:color w:val="000000" w:themeColor="text1"/>
          <w:sz w:val="20"/>
          <w:szCs w:val="20"/>
        </w:rPr>
      </w:pPr>
      <w:r>
        <w:rPr>
          <w:rFonts w:ascii="VELUX Transform" w:hAnsi="VELUX Transform" w:cs="Arial"/>
          <w:bCs/>
          <w:color w:val="000000" w:themeColor="text1"/>
          <w:sz w:val="20"/>
          <w:szCs w:val="20"/>
        </w:rPr>
        <w:t>Velux Suisse SA, dont le siège est à Aarburg, est une entreprise du groupe international Velux. Le plus grand fabricant mondial de fenêtres de toit a pour vision de créer un meilleur cadre de vie pour les gens du monde entier en exploitant au maximum la lumière du jour et l’air frais à travers le toit.  Au niveau international, le groupe est représenté dans plus de 38 pays et compte environ 11’000 collaborateurs. Outre les fenêtres de toit et les diverses solutions de lanterneaux, la gamme de produits comprend entre autres des protections solaires, des protections contre la chaleur et des accessoires pour l'installation de fenêtres. Les solutions Smart Home et les systèmes automatisés contribuent à un climat intérieur sain et augmentent le confort d'habitation. Avec Velux Commercial, un secteur d'entreprise spécifique propose des solutions d'éclairage naturel spécialement conçues pour les bâtiments commerciaux, publics et industriels.</w:t>
      </w:r>
    </w:p>
    <w:p w14:paraId="5214141E" w14:textId="77777777" w:rsidR="000053E5" w:rsidRDefault="000053E5" w:rsidP="000053E5">
      <w:pPr>
        <w:spacing w:line="240" w:lineRule="auto"/>
        <w:ind w:right="-1"/>
        <w:jc w:val="both"/>
        <w:rPr>
          <w:rFonts w:ascii="VELUX Transform" w:hAnsi="VELUX Transform" w:cs="Arial"/>
          <w:bCs/>
          <w:color w:val="000000" w:themeColor="text1"/>
          <w:sz w:val="20"/>
          <w:szCs w:val="20"/>
        </w:rPr>
      </w:pPr>
      <w:r>
        <w:rPr>
          <w:rFonts w:ascii="VELUX Transform" w:hAnsi="VELUX Transform" w:cs="Arial"/>
          <w:bCs/>
          <w:color w:val="000000" w:themeColor="text1"/>
          <w:sz w:val="20"/>
          <w:szCs w:val="20"/>
        </w:rPr>
        <w:t>Dans le cadre de sa stratégie de durabilité, le groupe Velux s'est engagé à réduire considérablement les futures émissions de CO</w:t>
      </w:r>
      <w:r>
        <w:rPr>
          <w:rFonts w:ascii="VELUX Transform" w:hAnsi="VELUX Transform" w:cs="Arial"/>
          <w:bCs/>
          <w:color w:val="000000" w:themeColor="text1"/>
          <w:sz w:val="20"/>
          <w:szCs w:val="20"/>
          <w:vertAlign w:val="subscript"/>
        </w:rPr>
        <w:t>2</w:t>
      </w:r>
      <w:r>
        <w:rPr>
          <w:rFonts w:ascii="VELUX Transform" w:hAnsi="VELUX Transform" w:cs="Arial"/>
          <w:bCs/>
          <w:color w:val="000000" w:themeColor="text1"/>
          <w:sz w:val="20"/>
          <w:szCs w:val="20"/>
        </w:rPr>
        <w:t>, conformément à l'objectif de 1,5°C de l'accord de Paris sur le climat, et à devenir "climatiquement neutre à vie" d'ici 2041. Pour ce faire, il réalise, en collaboration avec le WWF, des projets forestiers qui absorberont toutes les émissions de CO</w:t>
      </w:r>
      <w:r>
        <w:rPr>
          <w:rFonts w:ascii="VELUX Transform" w:hAnsi="VELUX Transform" w:cs="Arial"/>
          <w:bCs/>
          <w:color w:val="000000" w:themeColor="text1"/>
          <w:sz w:val="20"/>
          <w:szCs w:val="20"/>
          <w:vertAlign w:val="subscript"/>
        </w:rPr>
        <w:t>2</w:t>
      </w:r>
      <w:r>
        <w:rPr>
          <w:rFonts w:ascii="VELUX Transform" w:hAnsi="VELUX Transform" w:cs="Arial"/>
          <w:bCs/>
          <w:color w:val="000000" w:themeColor="text1"/>
          <w:sz w:val="20"/>
          <w:szCs w:val="20"/>
        </w:rPr>
        <w:t xml:space="preserve"> générées depuis sa création en 1941.</w:t>
      </w:r>
    </w:p>
    <w:p w14:paraId="67549671" w14:textId="77777777" w:rsidR="000053E5" w:rsidRDefault="000053E5" w:rsidP="000053E5">
      <w:pPr>
        <w:spacing w:line="240" w:lineRule="auto"/>
        <w:ind w:right="-1"/>
        <w:jc w:val="both"/>
        <w:rPr>
          <w:rFonts w:ascii="VELUX Transform" w:hAnsi="VELUX Transform" w:cs="Arial"/>
          <w:bCs/>
          <w:color w:val="000000" w:themeColor="text1"/>
          <w:sz w:val="20"/>
          <w:szCs w:val="20"/>
        </w:rPr>
      </w:pPr>
      <w:r>
        <w:rPr>
          <w:rFonts w:ascii="VELUX Transform" w:hAnsi="VELUX Transform" w:cs="Arial"/>
          <w:bCs/>
          <w:color w:val="000000" w:themeColor="text1"/>
          <w:sz w:val="20"/>
          <w:szCs w:val="20"/>
        </w:rPr>
        <w:t xml:space="preserve">Pour plus d’informations, veuillez consulter le site </w:t>
      </w:r>
      <w:hyperlink r:id="rId13" w:history="1">
        <w:r>
          <w:rPr>
            <w:rStyle w:val="Hyperlink"/>
            <w:rFonts w:ascii="VELUX Transform" w:hAnsi="VELUX Transform" w:cs="Arial"/>
            <w:bCs/>
            <w:sz w:val="20"/>
            <w:szCs w:val="20"/>
          </w:rPr>
          <w:t>www.velux.ch</w:t>
        </w:r>
      </w:hyperlink>
      <w:r>
        <w:rPr>
          <w:rFonts w:ascii="VELUX Transform" w:hAnsi="VELUX Transform" w:cs="Arial"/>
          <w:bCs/>
          <w:color w:val="000000" w:themeColor="text1"/>
          <w:sz w:val="20"/>
          <w:szCs w:val="20"/>
        </w:rPr>
        <w:t>.</w:t>
      </w:r>
    </w:p>
    <w:p w14:paraId="331C5B32" w14:textId="77777777" w:rsidR="000053E5" w:rsidRDefault="000053E5" w:rsidP="000053E5">
      <w:pPr>
        <w:spacing w:line="240" w:lineRule="auto"/>
        <w:ind w:right="-1"/>
        <w:jc w:val="both"/>
        <w:rPr>
          <w:rFonts w:ascii="VELUX Transform" w:hAnsi="VELUX Transform" w:cs="Arial"/>
          <w:bCs/>
          <w:color w:val="000000" w:themeColor="text1"/>
          <w:sz w:val="20"/>
          <w:szCs w:val="20"/>
        </w:rPr>
      </w:pPr>
      <w:r>
        <w:rPr>
          <w:rFonts w:ascii="VELUX Transform" w:hAnsi="VELUX Transform" w:cs="Arial"/>
          <w:bCs/>
          <w:color w:val="000000" w:themeColor="text1"/>
          <w:sz w:val="20"/>
          <w:szCs w:val="20"/>
        </w:rPr>
        <w:t xml:space="preserve">Les communiqués de presse ainsi que les visuels sont disponibles sur notre plateforme presse : </w:t>
      </w:r>
      <w:hyperlink r:id="rId14" w:history="1">
        <w:r>
          <w:rPr>
            <w:rStyle w:val="Hyperlink"/>
            <w:rFonts w:ascii="VELUX Transform" w:hAnsi="VELUX Transform" w:cs="Arial"/>
            <w:bCs/>
            <w:sz w:val="20"/>
            <w:szCs w:val="20"/>
          </w:rPr>
          <w:t>presse.velux.ch</w:t>
        </w:r>
      </w:hyperlink>
      <w:r>
        <w:rPr>
          <w:rFonts w:ascii="VELUX Transform" w:hAnsi="VELUX Transform" w:cs="Arial"/>
          <w:bCs/>
          <w:color w:val="000000" w:themeColor="text1"/>
          <w:sz w:val="20"/>
          <w:szCs w:val="20"/>
        </w:rPr>
        <w:t xml:space="preserve"> </w:t>
      </w:r>
    </w:p>
    <w:p w14:paraId="61E36773" w14:textId="77777777" w:rsidR="000053E5" w:rsidRDefault="000053E5" w:rsidP="000053E5">
      <w:pPr>
        <w:spacing w:line="240" w:lineRule="auto"/>
        <w:ind w:right="-1"/>
        <w:jc w:val="both"/>
        <w:rPr>
          <w:rFonts w:ascii="VELUX Transform" w:hAnsi="VELUX Transform" w:cs="Arial"/>
          <w:bCs/>
          <w:color w:val="000000" w:themeColor="text1"/>
          <w:sz w:val="20"/>
          <w:szCs w:val="20"/>
        </w:rPr>
      </w:pPr>
    </w:p>
    <w:p w14:paraId="6C04A242" w14:textId="77777777" w:rsidR="000053E5" w:rsidRDefault="000053E5" w:rsidP="000053E5">
      <w:pPr>
        <w:autoSpaceDE w:val="0"/>
        <w:autoSpaceDN w:val="0"/>
        <w:jc w:val="both"/>
        <w:rPr>
          <w:rFonts w:ascii="VELUX Transform" w:hAnsi="VELUX Transform" w:cs="Arial"/>
          <w:b/>
          <w:bCs/>
          <w:color w:val="000000" w:themeColor="text1"/>
          <w:sz w:val="20"/>
          <w:szCs w:val="20"/>
        </w:rPr>
      </w:pPr>
      <w:r>
        <w:rPr>
          <w:rFonts w:ascii="VELUX Transform" w:hAnsi="VELUX Transform" w:cs="Arial"/>
          <w:b/>
          <w:bCs/>
          <w:color w:val="000000" w:themeColor="text1"/>
          <w:sz w:val="20"/>
          <w:szCs w:val="20"/>
        </w:rPr>
        <w:t>A propos du groupe Velux</w:t>
      </w:r>
    </w:p>
    <w:p w14:paraId="08D1A502" w14:textId="77777777" w:rsidR="000053E5" w:rsidRDefault="000053E5" w:rsidP="000053E5">
      <w:pPr>
        <w:autoSpaceDE w:val="0"/>
        <w:autoSpaceDN w:val="0"/>
        <w:jc w:val="both"/>
        <w:rPr>
          <w:rFonts w:ascii="VELUX Transform" w:hAnsi="VELUX Transform" w:cs="Arial"/>
          <w:bCs/>
          <w:color w:val="000000" w:themeColor="text1"/>
          <w:sz w:val="20"/>
          <w:szCs w:val="20"/>
        </w:rPr>
      </w:pPr>
      <w:r>
        <w:rPr>
          <w:rFonts w:ascii="VELUX Transform" w:hAnsi="VELUX Transform" w:cs="Arial"/>
          <w:bCs/>
          <w:color w:val="000000" w:themeColor="text1"/>
          <w:sz w:val="20"/>
          <w:szCs w:val="20"/>
        </w:rPr>
        <w:t>Depuis plus de 80 ans, le groupe Velux crée un meilleur cadre de vie pour les gens du monde entier en exploitant au maximum la lumière du jour et l’air frais à travers le toit. La gamme de produits comprend des fenêtres de toit ainsi que des modules de lanterneaux, des produits décoratifs de protection solaire ainsi que des volets roulants, des produits de raccordement et des solutions Smart Home. Ces produits assurent un climat intérieur sain et durable pendant le travail et l’apprentissage ainsi que pendant les jeux et les loisirs. Le groupe Velux est actif dans le monde entier, avec des sites de production et de distribution dans plus de 38 pays et environ 11'000 collaborateurs. Velux appartient à VKR Holding S/A, une société</w:t>
      </w:r>
      <w:r>
        <w:rPr>
          <w:bCs/>
        </w:rPr>
        <w:t xml:space="preserve"> anonyme de droit danois, détenue en totalité par des fondations d’utilité </w:t>
      </w:r>
      <w:r>
        <w:rPr>
          <w:rFonts w:ascii="VELUX Transform" w:hAnsi="VELUX Transform" w:cs="Arial"/>
          <w:bCs/>
          <w:color w:val="000000" w:themeColor="text1"/>
          <w:sz w:val="20"/>
          <w:szCs w:val="20"/>
        </w:rPr>
        <w:t>publique (fondations Velux) et la famille du fondateur de l’entreprise. En 2022, la holding VKR a réalisé un chiffre d’affaires total de 4,29 milliards d’euros et le groupe Velux un chiffre d'affaires total de 2,99 milliards d'euros. Les fondations Velux ont fait don de 181 millions d'euros à des œuvres caritatives.</w:t>
      </w:r>
    </w:p>
    <w:p w14:paraId="6DB3E7E9" w14:textId="77777777" w:rsidR="000053E5" w:rsidRDefault="000053E5" w:rsidP="000053E5">
      <w:pPr>
        <w:spacing w:line="240" w:lineRule="auto"/>
        <w:ind w:right="-1"/>
        <w:jc w:val="both"/>
        <w:rPr>
          <w:rFonts w:ascii="VELUX Transform" w:hAnsi="VELUX Transform" w:cs="Arial"/>
          <w:bCs/>
          <w:color w:val="000000" w:themeColor="text1"/>
          <w:sz w:val="20"/>
          <w:szCs w:val="20"/>
        </w:rPr>
      </w:pPr>
      <w:r>
        <w:rPr>
          <w:bCs/>
        </w:rPr>
        <w:t xml:space="preserve">Pour plus d’informations sur le groupe Velux, veuillez consulter le site </w:t>
      </w:r>
      <w:hyperlink r:id="rId15" w:history="1">
        <w:r>
          <w:rPr>
            <w:rStyle w:val="Hyperlink"/>
            <w:bCs/>
          </w:rPr>
          <w:t>www.velux.com</w:t>
        </w:r>
      </w:hyperlink>
      <w:r>
        <w:rPr>
          <w:bCs/>
        </w:rPr>
        <w:t>.</w:t>
      </w:r>
    </w:p>
    <w:p w14:paraId="34C4ACF8" w14:textId="2C7CAA27" w:rsidR="00A00BD3" w:rsidRPr="000053E5" w:rsidRDefault="00A00BD3" w:rsidP="000053E5">
      <w:pPr>
        <w:rPr>
          <w:rFonts w:ascii="VELUX Transform" w:hAnsi="VELUX Transform" w:cs="Arial"/>
          <w:bCs/>
          <w:color w:val="000000" w:themeColor="text1"/>
          <w:sz w:val="20"/>
          <w:szCs w:val="20"/>
        </w:rPr>
      </w:pPr>
    </w:p>
    <w:sectPr w:rsidR="00A00BD3" w:rsidRPr="000053E5" w:rsidSect="00B11C28">
      <w:headerReference w:type="default" r:id="rId16"/>
      <w:headerReference w:type="first" r:id="rId17"/>
      <w:footerReference w:type="first" r:id="rId18"/>
      <w:pgSz w:w="11906" w:h="16838"/>
      <w:pgMar w:top="1701" w:right="1134" w:bottom="1701" w:left="1134"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176447" w16cex:dateUtc="2023-11-23T09: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F3644" w14:textId="77777777" w:rsidR="003F52B3" w:rsidRDefault="003F52B3" w:rsidP="00CA7A7C">
      <w:pPr>
        <w:spacing w:after="0" w:line="240" w:lineRule="auto"/>
      </w:pPr>
      <w:r>
        <w:separator/>
      </w:r>
    </w:p>
  </w:endnote>
  <w:endnote w:type="continuationSeparator" w:id="0">
    <w:p w14:paraId="0C7C2026" w14:textId="77777777" w:rsidR="003F52B3" w:rsidRDefault="003F52B3"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Cambria"/>
    <w:panose1 w:val="02000506030000020004"/>
    <w:charset w:val="00"/>
    <w:family w:val="auto"/>
    <w:pitch w:val="variable"/>
    <w:sig w:usb0="A00002AF" w:usb1="5000204A" w:usb2="00000000" w:usb3="00000000" w:csb0="0000009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D7651" w14:textId="69C0A9E4" w:rsidR="00B11C28" w:rsidRPr="00943D46" w:rsidRDefault="00B11C28">
    <w:pPr>
      <w:pStyle w:val="Fuzeile"/>
    </w:pPr>
    <w:r>
      <w:rPr>
        <w:rFonts w:ascii="VELUX Transform" w:hAnsi="VELUX Transform"/>
        <w:sz w:val="14"/>
      </w:rPr>
      <w:t xml:space="preserve"> Rapport sur la situation mondiale 2022 des bâtiments et de la construction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20DCA" w14:textId="77777777" w:rsidR="003F52B3" w:rsidRDefault="003F52B3" w:rsidP="00CA7A7C">
      <w:pPr>
        <w:spacing w:after="0" w:line="240" w:lineRule="auto"/>
      </w:pPr>
      <w:r>
        <w:separator/>
      </w:r>
    </w:p>
  </w:footnote>
  <w:footnote w:type="continuationSeparator" w:id="0">
    <w:p w14:paraId="6D0D3822" w14:textId="77777777" w:rsidR="003F52B3" w:rsidRDefault="003F52B3" w:rsidP="00CA7A7C">
      <w:pPr>
        <w:spacing w:after="0" w:line="240" w:lineRule="auto"/>
      </w:pPr>
      <w:r>
        <w:continuationSeparator/>
      </w:r>
    </w:p>
  </w:footnote>
  <w:footnote w:id="1">
    <w:p w14:paraId="311E63DA" w14:textId="6641A74A" w:rsidR="008650CF" w:rsidRPr="008650CF" w:rsidRDefault="008650CF">
      <w:pPr>
        <w:pStyle w:val="Funotentext"/>
      </w:pPr>
      <w:r>
        <w:rPr>
          <w:rStyle w:val="Funotenzeichen"/>
        </w:rPr>
        <w:footnoteRef/>
      </w:r>
      <w:r>
        <w:t xml:space="preserve"> </w:t>
      </w:r>
      <w:hyperlink r:id="rId1" w:history="1">
        <w:r>
          <w:rPr>
            <w:rStyle w:val="Hyperlink"/>
            <w:rFonts w:ascii="VELUX Transform Headline" w:hAnsi="VELUX Transform Headline"/>
            <w:sz w:val="16"/>
          </w:rPr>
          <w:t>https://www.suisseenergie.ch/batiment/renover-assainir/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7EEB6CBF" w14:textId="0ACDCF4D" w:rsidR="00CA7A7C" w:rsidRPr="00CF3302" w:rsidRDefault="00CA7A7C" w:rsidP="00CA7A7C">
    <w:pPr>
      <w:tabs>
        <w:tab w:val="center" w:pos="4513"/>
        <w:tab w:val="right" w:pos="9026"/>
        <w:tab w:val="right" w:pos="9360"/>
      </w:tabs>
      <w:spacing w:after="0" w:line="240" w:lineRule="auto"/>
      <w:rPr>
        <w:rFonts w:ascii="VELUX Transform" w:hAnsi="VELUX Transform"/>
      </w:rPr>
    </w:pPr>
    <w:r>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7"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t>Communiqué de presse – Inauguration de Living Places à Copenhague</w:t>
    </w:r>
  </w:p>
  <w:p w14:paraId="126BF0FF" w14:textId="3F0F06B1" w:rsidR="00CA7A7C" w:rsidRPr="002466EB" w:rsidRDefault="00CA7A7C">
    <w:pPr>
      <w:pStyle w:val="Kopfzeile"/>
    </w:pPr>
  </w:p>
  <w:p w14:paraId="3E8089DF" w14:textId="6435F41F" w:rsidR="00CA7A7C" w:rsidRPr="002466EB" w:rsidRDefault="00CA7A7C">
    <w:pPr>
      <w:pStyle w:val="Kopfzeile"/>
    </w:pPr>
  </w:p>
  <w:p w14:paraId="04E32760" w14:textId="196A46C0" w:rsidR="00CA7A7C" w:rsidRPr="002466EB" w:rsidRDefault="00CA7A7C">
    <w:pPr>
      <w:pStyle w:val="Kopfzeile"/>
    </w:pPr>
  </w:p>
  <w:p w14:paraId="1D28E20F" w14:textId="447516AA" w:rsidR="00CA7A7C" w:rsidRPr="002466EB" w:rsidRDefault="00CA7A7C">
    <w:pPr>
      <w:pStyle w:val="Kopfzeile"/>
    </w:pPr>
  </w:p>
  <w:p w14:paraId="5AF360F5" w14:textId="77777777" w:rsidR="00CA7A7C" w:rsidRPr="002466EB" w:rsidRDefault="00CA7A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27A35" w14:textId="77777777" w:rsidR="00362AF5" w:rsidRDefault="00362AF5" w:rsidP="00362AF5">
    <w:pPr>
      <w:tabs>
        <w:tab w:val="center" w:pos="4513"/>
        <w:tab w:val="right" w:pos="9026"/>
        <w:tab w:val="right" w:pos="9360"/>
      </w:tabs>
      <w:spacing w:after="0" w:line="240" w:lineRule="auto"/>
      <w:rPr>
        <w:rFonts w:ascii="VELUXforOffice" w:hAnsi="VELUXforOffice"/>
        <w:lang w:val="en-GB"/>
      </w:rPr>
    </w:pPr>
  </w:p>
  <w:p w14:paraId="642725A2" w14:textId="303C8E60" w:rsidR="00362AF5" w:rsidRPr="00CF3302" w:rsidRDefault="00362AF5" w:rsidP="00362AF5">
    <w:pPr>
      <w:tabs>
        <w:tab w:val="center" w:pos="4513"/>
        <w:tab w:val="right" w:pos="9026"/>
        <w:tab w:val="right" w:pos="9360"/>
      </w:tabs>
      <w:spacing w:after="0" w:line="240" w:lineRule="auto"/>
      <w:rPr>
        <w:rFonts w:ascii="VELUX Transform" w:hAnsi="VELUX Transform"/>
      </w:rPr>
    </w:pPr>
    <w:r>
      <w:rPr>
        <w:rFonts w:ascii="VELUX Transform" w:hAnsi="VELUX Transform"/>
        <w:noProof/>
        <w:sz w:val="20"/>
        <w:lang w:val="de-CH" w:eastAsia="de-CH"/>
      </w:rPr>
      <w:drawing>
        <wp:anchor distT="0" distB="0" distL="114300" distR="114300" simplePos="0" relativeHeight="251661312" behindDoc="0" locked="0" layoutInCell="1" allowOverlap="1" wp14:anchorId="4CDBA4A6" wp14:editId="21484441">
          <wp:simplePos x="0" y="0"/>
          <wp:positionH relativeFrom="column">
            <wp:posOffset>4800600</wp:posOffset>
          </wp:positionH>
          <wp:positionV relativeFrom="paragraph">
            <wp:posOffset>-106680</wp:posOffset>
          </wp:positionV>
          <wp:extent cx="1447800" cy="1076325"/>
          <wp:effectExtent l="0" t="0" r="0" b="9525"/>
          <wp:wrapSquare wrapText="bothSides"/>
          <wp:docPr id="8"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Pr>
        <w:rFonts w:ascii="VELUX Transform" w:hAnsi="VELUX Transform"/>
        <w:sz w:val="20"/>
      </w:rPr>
      <w:t>Communiqué de presse – Campagne de remplacement Velux</w:t>
    </w:r>
  </w:p>
  <w:p w14:paraId="682DC9E2" w14:textId="3707AEF6" w:rsidR="00362AF5" w:rsidRPr="002466EB" w:rsidRDefault="00362AF5">
    <w:pPr>
      <w:pStyle w:val="Kopfzeile"/>
    </w:pPr>
  </w:p>
  <w:p w14:paraId="3CCFE74A" w14:textId="0EE8C625" w:rsidR="00362AF5" w:rsidRPr="002466EB" w:rsidRDefault="00362AF5">
    <w:pPr>
      <w:pStyle w:val="Kopfzeile"/>
    </w:pPr>
  </w:p>
  <w:p w14:paraId="13063F21" w14:textId="71B0859D" w:rsidR="00362AF5" w:rsidRPr="002466EB" w:rsidRDefault="00362AF5">
    <w:pPr>
      <w:pStyle w:val="Kopfzeile"/>
    </w:pPr>
  </w:p>
  <w:p w14:paraId="1C02D3D2" w14:textId="3384D577" w:rsidR="00362AF5" w:rsidRPr="002466EB" w:rsidRDefault="00362AF5">
    <w:pPr>
      <w:pStyle w:val="Kopfzeile"/>
    </w:pPr>
  </w:p>
  <w:p w14:paraId="09FDF639" w14:textId="77777777" w:rsidR="00362AF5" w:rsidRPr="002466EB" w:rsidRDefault="00362AF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3008C"/>
    <w:multiLevelType w:val="hybridMultilevel"/>
    <w:tmpl w:val="574A18B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1530"/>
    <w:rsid w:val="000053E5"/>
    <w:rsid w:val="00014934"/>
    <w:rsid w:val="00040995"/>
    <w:rsid w:val="00041750"/>
    <w:rsid w:val="000D688C"/>
    <w:rsid w:val="0010166A"/>
    <w:rsid w:val="00146B3C"/>
    <w:rsid w:val="00174345"/>
    <w:rsid w:val="001C4B81"/>
    <w:rsid w:val="002466EB"/>
    <w:rsid w:val="002551CA"/>
    <w:rsid w:val="00260C7F"/>
    <w:rsid w:val="002671F4"/>
    <w:rsid w:val="0029059D"/>
    <w:rsid w:val="00327B49"/>
    <w:rsid w:val="00362AF5"/>
    <w:rsid w:val="003A2990"/>
    <w:rsid w:val="003A3BA5"/>
    <w:rsid w:val="003E2BA0"/>
    <w:rsid w:val="003F52B3"/>
    <w:rsid w:val="004A7FA8"/>
    <w:rsid w:val="004B3702"/>
    <w:rsid w:val="004F7051"/>
    <w:rsid w:val="0054609F"/>
    <w:rsid w:val="005559B4"/>
    <w:rsid w:val="0059794F"/>
    <w:rsid w:val="005F76FF"/>
    <w:rsid w:val="00616A1D"/>
    <w:rsid w:val="006D6B2F"/>
    <w:rsid w:val="00717B17"/>
    <w:rsid w:val="00723425"/>
    <w:rsid w:val="00767F2D"/>
    <w:rsid w:val="00781116"/>
    <w:rsid w:val="007A63F3"/>
    <w:rsid w:val="007D05A0"/>
    <w:rsid w:val="008329AE"/>
    <w:rsid w:val="008650CF"/>
    <w:rsid w:val="008A54B5"/>
    <w:rsid w:val="008F4E69"/>
    <w:rsid w:val="009430F7"/>
    <w:rsid w:val="00943D46"/>
    <w:rsid w:val="00952E27"/>
    <w:rsid w:val="009B7C9E"/>
    <w:rsid w:val="009F14CE"/>
    <w:rsid w:val="009F254C"/>
    <w:rsid w:val="00A00BD3"/>
    <w:rsid w:val="00B11C28"/>
    <w:rsid w:val="00B150F1"/>
    <w:rsid w:val="00B41003"/>
    <w:rsid w:val="00BA0841"/>
    <w:rsid w:val="00BB787F"/>
    <w:rsid w:val="00BD2568"/>
    <w:rsid w:val="00CA7A7C"/>
    <w:rsid w:val="00CF3302"/>
    <w:rsid w:val="00D802AD"/>
    <w:rsid w:val="00DB7667"/>
    <w:rsid w:val="00DD62E5"/>
    <w:rsid w:val="00E05BA0"/>
    <w:rsid w:val="00E75733"/>
    <w:rsid w:val="00E9037B"/>
    <w:rsid w:val="00EA36A6"/>
    <w:rsid w:val="00F50AFD"/>
    <w:rsid w:val="00F77E9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NichtaufgelsteErwhnung1">
    <w:name w:val="Nicht aufgelöste Erwähnung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rPr>
  </w:style>
  <w:style w:type="character" w:customStyle="1" w:styleId="CBlack">
    <w:name w:val="*C Black"/>
    <w:uiPriority w:val="99"/>
    <w:rsid w:val="00260C7F"/>
    <w:rPr>
      <w:rFonts w:ascii="VeluxGothic Black" w:hAnsi="VeluxGothic Black" w:cs="VeluxGothic Black"/>
    </w:rPr>
  </w:style>
  <w:style w:type="paragraph" w:styleId="Funotentext">
    <w:name w:val="footnote text"/>
    <w:basedOn w:val="Standard"/>
    <w:link w:val="FunotentextZchn"/>
    <w:uiPriority w:val="99"/>
    <w:semiHidden/>
    <w:unhideWhenUsed/>
    <w:rsid w:val="007D05A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D05A0"/>
    <w:rPr>
      <w:sz w:val="20"/>
      <w:szCs w:val="20"/>
    </w:rPr>
  </w:style>
  <w:style w:type="character" w:styleId="Funotenzeichen">
    <w:name w:val="footnote reference"/>
    <w:basedOn w:val="Absatz-Standardschriftart"/>
    <w:uiPriority w:val="99"/>
    <w:semiHidden/>
    <w:unhideWhenUsed/>
    <w:rsid w:val="007D05A0"/>
    <w:rPr>
      <w:vertAlign w:val="superscript"/>
    </w:rPr>
  </w:style>
  <w:style w:type="paragraph" w:styleId="Endnotentext">
    <w:name w:val="endnote text"/>
    <w:basedOn w:val="Standard"/>
    <w:link w:val="EndnotentextZchn"/>
    <w:uiPriority w:val="99"/>
    <w:semiHidden/>
    <w:unhideWhenUsed/>
    <w:rsid w:val="007D05A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D05A0"/>
    <w:rPr>
      <w:sz w:val="20"/>
      <w:szCs w:val="20"/>
    </w:rPr>
  </w:style>
  <w:style w:type="character" w:styleId="Endnotenzeichen">
    <w:name w:val="endnote reference"/>
    <w:basedOn w:val="Absatz-Standardschriftart"/>
    <w:uiPriority w:val="99"/>
    <w:semiHidden/>
    <w:unhideWhenUsed/>
    <w:rsid w:val="007D05A0"/>
    <w:rPr>
      <w:vertAlign w:val="superscript"/>
    </w:rPr>
  </w:style>
  <w:style w:type="character" w:styleId="BesuchterLink">
    <w:name w:val="FollowedHyperlink"/>
    <w:basedOn w:val="Absatz-Standardschriftart"/>
    <w:uiPriority w:val="99"/>
    <w:semiHidden/>
    <w:unhideWhenUsed/>
    <w:rsid w:val="001C4B81"/>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10166A"/>
    <w:rPr>
      <w:color w:val="605E5C"/>
      <w:shd w:val="clear" w:color="auto" w:fill="E1DFDD"/>
    </w:rPr>
  </w:style>
  <w:style w:type="paragraph" w:styleId="Listenabsatz">
    <w:name w:val="List Paragraph"/>
    <w:basedOn w:val="Standard"/>
    <w:uiPriority w:val="34"/>
    <w:qFormat/>
    <w:rsid w:val="00CF3302"/>
    <w:pPr>
      <w:ind w:left="720"/>
      <w:contextualSpacing/>
    </w:pPr>
  </w:style>
  <w:style w:type="paragraph" w:styleId="berarbeitung">
    <w:name w:val="Revision"/>
    <w:hidden/>
    <w:uiPriority w:val="99"/>
    <w:semiHidden/>
    <w:rsid w:val="00781116"/>
    <w:pPr>
      <w:spacing w:after="0" w:line="240" w:lineRule="auto"/>
    </w:pPr>
  </w:style>
  <w:style w:type="character" w:styleId="Kommentarzeichen">
    <w:name w:val="annotation reference"/>
    <w:basedOn w:val="Absatz-Standardschriftart"/>
    <w:uiPriority w:val="99"/>
    <w:semiHidden/>
    <w:unhideWhenUsed/>
    <w:rsid w:val="00781116"/>
    <w:rPr>
      <w:sz w:val="16"/>
      <w:szCs w:val="16"/>
    </w:rPr>
  </w:style>
  <w:style w:type="paragraph" w:styleId="Kommentartext">
    <w:name w:val="annotation text"/>
    <w:basedOn w:val="Standard"/>
    <w:link w:val="KommentartextZchn"/>
    <w:uiPriority w:val="99"/>
    <w:unhideWhenUsed/>
    <w:rsid w:val="00781116"/>
    <w:pPr>
      <w:spacing w:line="240" w:lineRule="auto"/>
    </w:pPr>
    <w:rPr>
      <w:sz w:val="20"/>
      <w:szCs w:val="20"/>
    </w:rPr>
  </w:style>
  <w:style w:type="character" w:customStyle="1" w:styleId="KommentartextZchn">
    <w:name w:val="Kommentartext Zchn"/>
    <w:basedOn w:val="Absatz-Standardschriftart"/>
    <w:link w:val="Kommentartext"/>
    <w:uiPriority w:val="99"/>
    <w:rsid w:val="00781116"/>
    <w:rPr>
      <w:sz w:val="20"/>
      <w:szCs w:val="20"/>
    </w:rPr>
  </w:style>
  <w:style w:type="paragraph" w:styleId="Kommentarthema">
    <w:name w:val="annotation subject"/>
    <w:basedOn w:val="Kommentartext"/>
    <w:next w:val="Kommentartext"/>
    <w:link w:val="KommentarthemaZchn"/>
    <w:uiPriority w:val="99"/>
    <w:semiHidden/>
    <w:unhideWhenUsed/>
    <w:rsid w:val="00781116"/>
    <w:rPr>
      <w:b/>
      <w:bCs/>
    </w:rPr>
  </w:style>
  <w:style w:type="character" w:customStyle="1" w:styleId="KommentarthemaZchn">
    <w:name w:val="Kommentarthema Zchn"/>
    <w:basedOn w:val="KommentartextZchn"/>
    <w:link w:val="Kommentarthema"/>
    <w:uiPriority w:val="99"/>
    <w:semiHidden/>
    <w:rsid w:val="00781116"/>
    <w:rPr>
      <w:b/>
      <w:bCs/>
      <w:sz w:val="20"/>
      <w:szCs w:val="20"/>
    </w:rPr>
  </w:style>
  <w:style w:type="paragraph" w:styleId="Sprechblasentext">
    <w:name w:val="Balloon Text"/>
    <w:basedOn w:val="Standard"/>
    <w:link w:val="SprechblasentextZchn"/>
    <w:uiPriority w:val="99"/>
    <w:semiHidden/>
    <w:unhideWhenUsed/>
    <w:rsid w:val="00943D4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43D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60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lux.ch/fr"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e.velux.ch/un-tiers-des-proprietaires-suisses-sinquietent-de-la-hausse-des-couts-de-lenergie" TargetMode="External"/><Relationship Id="rId5" Type="http://schemas.openxmlformats.org/officeDocument/2006/relationships/numbering" Target="numbering.xml"/><Relationship Id="rId15" Type="http://schemas.openxmlformats.org/officeDocument/2006/relationships/hyperlink" Target="http://www.velux.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se.velux.c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nergieschweiz.ch/gebaeude/renovieren-sanier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4" ma:contentTypeDescription="Ein neues Dokument erstellen." ma:contentTypeScope="" ma:versionID="0e8971e001a04543cc5ecdc2074f3279">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862f8af8eef6e7d3db435244f07dad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0455CC5F-ED2C-40B4-8906-131389281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14C40-7CC1-4A3C-8EBA-3332117DC2E2}">
  <ds:schemaRefs>
    <ds:schemaRef ds:uri="http://www.w3.org/XML/1998/namespace"/>
    <ds:schemaRef ds:uri="http://schemas.microsoft.com/office/2006/metadata/properties"/>
    <ds:schemaRef ds:uri="http://schemas.microsoft.com/office/2006/documentManagement/types"/>
    <ds:schemaRef ds:uri="a48b66a7-0aee-4334-a896-f15fd1a050cc"/>
    <ds:schemaRef ds:uri="990a86f5-91e8-4533-a35a-82aebf6aca6c"/>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5C27B997-560D-4AA4-B360-BFF02BAB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1338</Words>
  <Characters>8432</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3</cp:revision>
  <dcterms:created xsi:type="dcterms:W3CDTF">2023-11-27T15:07:00Z</dcterms:created>
  <dcterms:modified xsi:type="dcterms:W3CDTF">2023-12-06T16:39:00Z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0x010100FB9CC88F313A4E4198FAB59E9D15B5A6</vt:lpwstr>
  </property>
</Properties>
</file>