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04F1" w14:textId="77777777" w:rsidR="007F33C9" w:rsidRPr="00F50002" w:rsidRDefault="007F33C9" w:rsidP="007F33C9">
      <w:pPr>
        <w:spacing w:after="0" w:line="240" w:lineRule="auto"/>
        <w:rPr>
          <w:rFonts w:ascii="Arial" w:hAnsi="Arial" w:cs="Arial"/>
          <w:bCs/>
          <w:sz w:val="24"/>
          <w:szCs w:val="24"/>
          <w:lang w:val="de-CH"/>
        </w:rPr>
      </w:pPr>
    </w:p>
    <w:p w14:paraId="773BB838" w14:textId="77777777" w:rsidR="006C010D" w:rsidRPr="00F50002" w:rsidRDefault="006C010D" w:rsidP="007F33C9">
      <w:pPr>
        <w:spacing w:after="0" w:line="240" w:lineRule="auto"/>
        <w:rPr>
          <w:rFonts w:ascii="Arial" w:hAnsi="Arial" w:cs="Arial"/>
          <w:bCs/>
          <w:lang w:val="de-CH"/>
        </w:rPr>
      </w:pPr>
    </w:p>
    <w:p w14:paraId="652A0649" w14:textId="28559B83" w:rsidR="007F33C9" w:rsidRPr="00F50002" w:rsidRDefault="007F33C9" w:rsidP="007F33C9">
      <w:pPr>
        <w:spacing w:after="0" w:line="240" w:lineRule="auto"/>
        <w:rPr>
          <w:rFonts w:ascii="Arial" w:hAnsi="Arial" w:cs="Arial"/>
          <w:bCs/>
        </w:rPr>
      </w:pPr>
      <w:r>
        <w:rPr>
          <w:rFonts w:ascii="Arial" w:hAnsi="Arial"/>
          <w:bCs/>
        </w:rPr>
        <w:t>Communiqué de presse</w:t>
      </w:r>
    </w:p>
    <w:p w14:paraId="69FCDFB1" w14:textId="153BFA47" w:rsidR="007F33C9" w:rsidRPr="00F50002" w:rsidRDefault="007F33C9" w:rsidP="007F33C9">
      <w:pPr>
        <w:spacing w:after="0" w:line="240" w:lineRule="auto"/>
        <w:rPr>
          <w:rFonts w:ascii="Arial" w:hAnsi="Arial" w:cs="Arial"/>
          <w:bCs/>
        </w:rPr>
      </w:pPr>
      <w:proofErr w:type="spellStart"/>
      <w:r>
        <w:rPr>
          <w:rFonts w:ascii="Arial" w:hAnsi="Arial"/>
          <w:color w:val="000000" w:themeColor="text1"/>
        </w:rPr>
        <w:t>Hørsholm</w:t>
      </w:r>
      <w:proofErr w:type="spellEnd"/>
      <w:r>
        <w:rPr>
          <w:rFonts w:ascii="Arial" w:hAnsi="Arial"/>
          <w:color w:val="000000" w:themeColor="text1"/>
        </w:rPr>
        <w:t xml:space="preserve"> (Danemark)/Amsterdam, le 16 octobre 2018</w:t>
      </w:r>
    </w:p>
    <w:p w14:paraId="5414FCC2" w14:textId="3FBADE59" w:rsidR="007F33C9" w:rsidRPr="00B912DA" w:rsidRDefault="007F33C9" w:rsidP="007F33C9">
      <w:pPr>
        <w:spacing w:after="0" w:line="240" w:lineRule="auto"/>
        <w:rPr>
          <w:rFonts w:ascii="Arial" w:hAnsi="Arial" w:cs="Arial"/>
          <w:b/>
          <w:bCs/>
          <w:sz w:val="32"/>
          <w:szCs w:val="32"/>
        </w:rPr>
      </w:pPr>
    </w:p>
    <w:p w14:paraId="7EF0CFB9" w14:textId="77777777" w:rsidR="006C010D" w:rsidRPr="00B912DA" w:rsidRDefault="006C010D" w:rsidP="007F33C9">
      <w:pPr>
        <w:spacing w:after="0" w:line="240" w:lineRule="auto"/>
        <w:rPr>
          <w:rFonts w:ascii="Arial" w:hAnsi="Arial" w:cs="Arial"/>
          <w:b/>
          <w:bCs/>
          <w:sz w:val="32"/>
          <w:szCs w:val="32"/>
        </w:rPr>
      </w:pPr>
    </w:p>
    <w:p w14:paraId="55FBCB64" w14:textId="2920381A" w:rsidR="0053653D" w:rsidRPr="00F50002" w:rsidRDefault="00F70346" w:rsidP="007F33C9">
      <w:pPr>
        <w:spacing w:after="0" w:line="240" w:lineRule="auto"/>
        <w:rPr>
          <w:rFonts w:ascii="Arial" w:hAnsi="Arial" w:cs="Arial"/>
          <w:b/>
          <w:bCs/>
          <w:sz w:val="32"/>
          <w:szCs w:val="32"/>
        </w:rPr>
      </w:pPr>
      <w:r>
        <w:rPr>
          <w:rFonts w:ascii="Arial" w:hAnsi="Arial"/>
          <w:b/>
          <w:bCs/>
          <w:sz w:val="32"/>
          <w:szCs w:val="32"/>
        </w:rPr>
        <w:t xml:space="preserve">Le groupe VELUX rachète le groupe JET à </w:t>
      </w:r>
      <w:proofErr w:type="spellStart"/>
      <w:r>
        <w:rPr>
          <w:rFonts w:ascii="Arial" w:hAnsi="Arial"/>
          <w:b/>
          <w:bCs/>
          <w:sz w:val="32"/>
          <w:szCs w:val="32"/>
        </w:rPr>
        <w:t>Egeria</w:t>
      </w:r>
      <w:proofErr w:type="spellEnd"/>
    </w:p>
    <w:p w14:paraId="7A1156BE" w14:textId="1C3671BD" w:rsidR="007F33C9" w:rsidRPr="00B912DA" w:rsidRDefault="007F33C9" w:rsidP="007F33C9">
      <w:pPr>
        <w:spacing w:after="0" w:line="240" w:lineRule="auto"/>
        <w:rPr>
          <w:rFonts w:ascii="Arial" w:hAnsi="Arial" w:cs="Arial"/>
          <w:b/>
          <w:bCs/>
        </w:rPr>
      </w:pPr>
    </w:p>
    <w:p w14:paraId="0206EAF8" w14:textId="3879DB9D" w:rsidR="000E5284" w:rsidRPr="000E5284" w:rsidRDefault="00C64DBB" w:rsidP="000E5284">
      <w:pPr>
        <w:rPr>
          <w:rFonts w:ascii="Arial" w:hAnsi="Arial" w:cs="Arial"/>
          <w:b/>
          <w:bCs/>
        </w:rPr>
      </w:pPr>
      <w:r>
        <w:rPr>
          <w:rFonts w:ascii="Arial" w:hAnsi="Arial"/>
          <w:b/>
        </w:rPr>
        <w:t xml:space="preserve">Le groupe VELUX reprend le groupe JET, un fournisseur européen de premier plan de systèmes commerciaux de lumière naturelle. Le groupe VELUX a conclu cet accord avec l’investisseur financier néerlandais </w:t>
      </w:r>
      <w:proofErr w:type="spellStart"/>
      <w:r>
        <w:rPr>
          <w:rFonts w:ascii="Arial" w:hAnsi="Arial"/>
          <w:b/>
        </w:rPr>
        <w:t>Egeria</w:t>
      </w:r>
      <w:proofErr w:type="spellEnd"/>
      <w:r>
        <w:rPr>
          <w:rFonts w:ascii="Arial" w:hAnsi="Arial"/>
          <w:b/>
        </w:rPr>
        <w:t xml:space="preserve">. La décision de reprendre JET correspond à la stratégie de croissance du groupe VELUX et vise à étoffer le secteur d’activité des systèmes de lumière naturelle dans la construction de bâtiments non destinés à l’habitation. </w:t>
      </w:r>
      <w:r>
        <w:rPr>
          <w:rFonts w:ascii="Arial" w:hAnsi="Arial"/>
          <w:b/>
          <w:bCs/>
        </w:rPr>
        <w:t xml:space="preserve">L’acquisition du groupe JET représente la troisième reprise du groupe VELUX cette année après le rachat du groupe WASCO, un fabricant américain de fenêtres de toit, et de </w:t>
      </w:r>
      <w:proofErr w:type="spellStart"/>
      <w:r>
        <w:rPr>
          <w:rFonts w:ascii="Arial" w:hAnsi="Arial"/>
          <w:b/>
          <w:bCs/>
        </w:rPr>
        <w:t>Vitral</w:t>
      </w:r>
      <w:proofErr w:type="spellEnd"/>
      <w:r>
        <w:rPr>
          <w:rFonts w:ascii="Arial" w:hAnsi="Arial"/>
          <w:b/>
          <w:bCs/>
        </w:rPr>
        <w:t>, une entreprise présente au Danemark et en Angleterre dans le domaine des fenêtres de toit.</w:t>
      </w:r>
    </w:p>
    <w:p w14:paraId="6A694571" w14:textId="35EAEA7B" w:rsidR="007F33C9" w:rsidRPr="007B74F7" w:rsidRDefault="007F33C9" w:rsidP="007F33C9">
      <w:pPr>
        <w:spacing w:after="0" w:line="240" w:lineRule="auto"/>
        <w:rPr>
          <w:rFonts w:ascii="Arial" w:hAnsi="Arial" w:cs="Arial"/>
        </w:rPr>
      </w:pPr>
    </w:p>
    <w:p w14:paraId="6C80B513" w14:textId="7F0AB869" w:rsidR="00235BC6" w:rsidRPr="00F50002" w:rsidRDefault="005B13DC" w:rsidP="007F33C9">
      <w:pPr>
        <w:spacing w:after="0" w:line="240" w:lineRule="auto"/>
        <w:rPr>
          <w:rFonts w:ascii="Arial" w:hAnsi="Arial" w:cs="Arial"/>
        </w:rPr>
      </w:pPr>
      <w:r>
        <w:rPr>
          <w:rFonts w:ascii="Arial" w:hAnsi="Arial"/>
        </w:rPr>
        <w:t xml:space="preserve">Le groupe VELUX est le leader du marché des fenêtres de toit dans les biens immobiliers résidentiels depuis 75 ans. VELUX a fait ses premiers pas sur le marché commercial en 2012 lors du lancement du Velux </w:t>
      </w:r>
      <w:proofErr w:type="spellStart"/>
      <w:r>
        <w:rPr>
          <w:rFonts w:ascii="Arial" w:hAnsi="Arial"/>
        </w:rPr>
        <w:t>Modular</w:t>
      </w:r>
      <w:proofErr w:type="spellEnd"/>
      <w:r>
        <w:rPr>
          <w:rFonts w:ascii="Arial" w:hAnsi="Arial"/>
        </w:rPr>
        <w:t xml:space="preserve"> </w:t>
      </w:r>
      <w:proofErr w:type="spellStart"/>
      <w:r>
        <w:rPr>
          <w:rFonts w:ascii="Arial" w:hAnsi="Arial"/>
        </w:rPr>
        <w:t>Skylight</w:t>
      </w:r>
      <w:proofErr w:type="spellEnd"/>
      <w:r>
        <w:rPr>
          <w:rFonts w:ascii="Arial" w:hAnsi="Arial"/>
        </w:rPr>
        <w:t xml:space="preserve"> (VMS), un système modulaire de fenêtres de toit. La croissance organique et des rachats ciblés devraient permettre d’étoffer et de renforcer davantage ce secteur d’activité à l’avenir.</w:t>
      </w:r>
    </w:p>
    <w:p w14:paraId="0F400297" w14:textId="77777777" w:rsidR="007F33C9" w:rsidRPr="00B912DA" w:rsidRDefault="007F33C9" w:rsidP="007F33C9">
      <w:pPr>
        <w:spacing w:after="0" w:line="240" w:lineRule="auto"/>
        <w:rPr>
          <w:rFonts w:ascii="Arial" w:hAnsi="Arial" w:cs="Arial"/>
        </w:rPr>
      </w:pPr>
    </w:p>
    <w:p w14:paraId="20AF96A9" w14:textId="5176D8A4" w:rsidR="0053653D" w:rsidRPr="00F50002" w:rsidRDefault="00AD6B87" w:rsidP="007F33C9">
      <w:pPr>
        <w:spacing w:after="0" w:line="240" w:lineRule="auto"/>
        <w:rPr>
          <w:rFonts w:ascii="Arial" w:hAnsi="Arial" w:cs="Arial"/>
        </w:rPr>
      </w:pPr>
      <w:r>
        <w:rPr>
          <w:rFonts w:ascii="Arial" w:hAnsi="Arial"/>
        </w:rPr>
        <w:t xml:space="preserve">«Nous avons eu des discussions très positives avec </w:t>
      </w:r>
      <w:proofErr w:type="spellStart"/>
      <w:r>
        <w:rPr>
          <w:rFonts w:ascii="Arial" w:hAnsi="Arial"/>
        </w:rPr>
        <w:t>Egeria</w:t>
      </w:r>
      <w:proofErr w:type="spellEnd"/>
      <w:r>
        <w:rPr>
          <w:rFonts w:ascii="Arial" w:hAnsi="Arial"/>
        </w:rPr>
        <w:t xml:space="preserve"> et avec le groupe JET. Nous avons tout de suite remarqué que les objectifs et la culture du groupe JET complètent parfaitement les nôtres. En reprenant le groupe JET, nous renforçons notre position sur le marché commercial dans plusieurs pays et nous pourrons ajouter quelques nouvelles catégories de produits à nos offres destinées aux clients commerciaux», affirme David Briggs, le président du groupe VELUX.</w:t>
      </w:r>
    </w:p>
    <w:p w14:paraId="1172ADC6" w14:textId="77777777" w:rsidR="007F33C9" w:rsidRPr="00B912DA" w:rsidRDefault="007F33C9" w:rsidP="007F33C9">
      <w:pPr>
        <w:spacing w:after="0" w:line="240" w:lineRule="auto"/>
        <w:rPr>
          <w:rFonts w:ascii="Arial" w:hAnsi="Arial" w:cs="Arial"/>
        </w:rPr>
      </w:pPr>
    </w:p>
    <w:p w14:paraId="0B339582" w14:textId="613AF096" w:rsidR="003A77A0" w:rsidRPr="00F50002" w:rsidRDefault="006D5649" w:rsidP="007F33C9">
      <w:pPr>
        <w:spacing w:after="0" w:line="240" w:lineRule="auto"/>
        <w:rPr>
          <w:rFonts w:ascii="Arial" w:hAnsi="Arial" w:cs="Arial"/>
        </w:rPr>
      </w:pPr>
      <w:r>
        <w:rPr>
          <w:rFonts w:ascii="Arial" w:hAnsi="Arial"/>
        </w:rPr>
        <w:t>Le secteur commercial comprend généralement deux segments:</w:t>
      </w:r>
    </w:p>
    <w:p w14:paraId="54FB53F9" w14:textId="7A0B1454" w:rsidR="003A77A0" w:rsidRPr="00F50002" w:rsidRDefault="00B05B76" w:rsidP="007F33C9">
      <w:pPr>
        <w:pStyle w:val="ListParagraph"/>
        <w:numPr>
          <w:ilvl w:val="0"/>
          <w:numId w:val="2"/>
        </w:numPr>
        <w:spacing w:after="0" w:line="240" w:lineRule="auto"/>
        <w:rPr>
          <w:rFonts w:ascii="Arial" w:hAnsi="Arial" w:cs="Arial"/>
        </w:rPr>
      </w:pPr>
      <w:r>
        <w:rPr>
          <w:rFonts w:ascii="Arial" w:hAnsi="Arial"/>
        </w:rPr>
        <w:t xml:space="preserve">un segment de vitrages architecturaux qui se concentre sur le design et dans lequel les architectes jouent un rôle important </w:t>
      </w:r>
    </w:p>
    <w:p w14:paraId="6309791A" w14:textId="77777777" w:rsidR="00B40F7C" w:rsidRPr="00B912DA" w:rsidRDefault="00B40F7C" w:rsidP="00B40F7C">
      <w:pPr>
        <w:pStyle w:val="ListParagraph"/>
        <w:spacing w:after="0" w:line="240" w:lineRule="auto"/>
        <w:rPr>
          <w:rFonts w:ascii="Arial" w:hAnsi="Arial" w:cs="Arial"/>
        </w:rPr>
      </w:pPr>
    </w:p>
    <w:p w14:paraId="48D156B1" w14:textId="62366CC1" w:rsidR="003A77A0" w:rsidRPr="00F50002" w:rsidRDefault="006D5649" w:rsidP="007F33C9">
      <w:pPr>
        <w:pStyle w:val="ListParagraph"/>
        <w:numPr>
          <w:ilvl w:val="0"/>
          <w:numId w:val="2"/>
        </w:numPr>
        <w:spacing w:after="0" w:line="240" w:lineRule="auto"/>
        <w:rPr>
          <w:rFonts w:ascii="Arial" w:hAnsi="Arial" w:cs="Arial"/>
        </w:rPr>
      </w:pPr>
      <w:r>
        <w:rPr>
          <w:rFonts w:ascii="Arial" w:hAnsi="Arial"/>
        </w:rPr>
        <w:t>et un segment de toits plats commerciaux qui recouvre presque exclusivement des solutions en acryliques telles que des coupoles ou des fenêtres de toit continues (CRL).</w:t>
      </w:r>
    </w:p>
    <w:p w14:paraId="4A8FF840" w14:textId="77777777" w:rsidR="001F2C4D" w:rsidRPr="00B912DA" w:rsidRDefault="001F2C4D" w:rsidP="007F33C9">
      <w:pPr>
        <w:spacing w:after="0" w:line="240" w:lineRule="auto"/>
        <w:rPr>
          <w:rFonts w:ascii="Arial" w:hAnsi="Arial" w:cs="Arial"/>
        </w:rPr>
      </w:pPr>
    </w:p>
    <w:p w14:paraId="21F798F9" w14:textId="06CB9140" w:rsidR="00CB0E29" w:rsidRPr="00F50002" w:rsidRDefault="00EA6EA8" w:rsidP="007F33C9">
      <w:pPr>
        <w:spacing w:after="0" w:line="240" w:lineRule="auto"/>
        <w:rPr>
          <w:rFonts w:ascii="Arial" w:hAnsi="Arial" w:cs="Arial"/>
        </w:rPr>
      </w:pPr>
      <w:r>
        <w:rPr>
          <w:rFonts w:ascii="Arial" w:hAnsi="Arial"/>
        </w:rPr>
        <w:t>Les deux segments sont très différents en termes de groupes de clients et de processus de vente. L’activité VMS Velux se caractérise par une forte présence dans le segment des vitrages architecturaux tandis que JET occupe une position de leader du marché dans le segment des toits plats commerciaux.</w:t>
      </w:r>
    </w:p>
    <w:p w14:paraId="549DBB66" w14:textId="77777777" w:rsidR="001F2C4D" w:rsidRPr="00B912DA" w:rsidRDefault="001F2C4D" w:rsidP="007F33C9">
      <w:pPr>
        <w:spacing w:after="0" w:line="240" w:lineRule="auto"/>
        <w:rPr>
          <w:rFonts w:ascii="Arial" w:hAnsi="Arial" w:cs="Arial"/>
        </w:rPr>
      </w:pPr>
    </w:p>
    <w:p w14:paraId="17A9D451" w14:textId="4D7001C0" w:rsidR="004175FF" w:rsidRPr="00F50002" w:rsidRDefault="00F73E99" w:rsidP="007F33C9">
      <w:pPr>
        <w:tabs>
          <w:tab w:val="left" w:pos="2127"/>
        </w:tabs>
        <w:spacing w:after="0" w:line="240" w:lineRule="auto"/>
        <w:rPr>
          <w:rFonts w:ascii="Arial" w:hAnsi="Arial" w:cs="Arial"/>
        </w:rPr>
      </w:pPr>
      <w:r>
        <w:rPr>
          <w:rFonts w:ascii="Arial" w:hAnsi="Arial"/>
        </w:rPr>
        <w:t xml:space="preserve">«Avec la reprise du groupe JET, nous devenons l’un des principaux fournisseurs sur le marché commercial européen et dans les deux segments pour la maison. Nous fusionnerons nos activités VMS avec le groupe JET et nous mettrons en place au sein du groupe un nouveau secteur d’activité commercial qui devrait générer de la croissance sur le marché. Nous discernons également des opportunités d’amélioration de l’activité de vente en gros de JET par la vente de certains produits par l’intermédiaire du réseau de distribution de VELUX, ce qui devrait augmenter </w:t>
      </w:r>
      <w:r>
        <w:rPr>
          <w:rFonts w:ascii="Arial" w:hAnsi="Arial"/>
        </w:rPr>
        <w:lastRenderedPageBreak/>
        <w:t>le chiffre d’affaires de nos partenaires de distribution. VELUX s’est toujours concentré sur la lumière naturelle et sur l’air frais pour créer un cadre de vie et de travail plus favorable. La reprise de JET nous aide à réaliser des économies d’échelle et à étendre notre activité dans un nouveau segment», affirme David Briggs, le président du groupe VELUX.</w:t>
      </w:r>
    </w:p>
    <w:p w14:paraId="0646C934" w14:textId="77777777" w:rsidR="001F2C4D" w:rsidRPr="007B74F7" w:rsidRDefault="001F2C4D" w:rsidP="001F2C4D">
      <w:pPr>
        <w:spacing w:after="0" w:line="240" w:lineRule="auto"/>
        <w:rPr>
          <w:rFonts w:ascii="Arial" w:hAnsi="Arial" w:cs="Arial"/>
        </w:rPr>
      </w:pPr>
    </w:p>
    <w:p w14:paraId="187084A1" w14:textId="5CFFFF36" w:rsidR="001F2C4D" w:rsidRPr="00F50002" w:rsidRDefault="001F2C4D" w:rsidP="001F2C4D">
      <w:pPr>
        <w:spacing w:after="0" w:line="240" w:lineRule="auto"/>
        <w:rPr>
          <w:rFonts w:ascii="Arial" w:eastAsia="VELUXforOffice" w:hAnsi="Arial" w:cs="Arial"/>
        </w:rPr>
      </w:pPr>
      <w:r>
        <w:rPr>
          <w:rFonts w:ascii="Arial" w:hAnsi="Arial"/>
        </w:rPr>
        <w:t xml:space="preserve">«Nous sommes ravis d’intégrer le groupe VELUX et nous avons d’ores et déjà identifié un énorme potentiel de croissance qui nous permettra de continuer à renforcer notre activité européenne. Nos clients et nos collaborateurs devraient en profiter», déclare Ralf </w:t>
      </w:r>
      <w:proofErr w:type="spellStart"/>
      <w:r>
        <w:rPr>
          <w:rFonts w:ascii="Arial" w:hAnsi="Arial"/>
        </w:rPr>
        <w:t>Dahmer</w:t>
      </w:r>
      <w:proofErr w:type="spellEnd"/>
      <w:r>
        <w:rPr>
          <w:rFonts w:ascii="Arial" w:hAnsi="Arial"/>
        </w:rPr>
        <w:t xml:space="preserve">, CEO du groupe JET. Mark </w:t>
      </w:r>
      <w:proofErr w:type="spellStart"/>
      <w:r>
        <w:rPr>
          <w:rFonts w:ascii="Arial" w:hAnsi="Arial"/>
        </w:rPr>
        <w:t>Wetzels</w:t>
      </w:r>
      <w:proofErr w:type="spellEnd"/>
      <w:r>
        <w:rPr>
          <w:rFonts w:ascii="Arial" w:hAnsi="Arial"/>
        </w:rPr>
        <w:t xml:space="preserve">, associé chez </w:t>
      </w:r>
      <w:proofErr w:type="spellStart"/>
      <w:r>
        <w:rPr>
          <w:rFonts w:ascii="Arial" w:hAnsi="Arial"/>
        </w:rPr>
        <w:t>Egeria</w:t>
      </w:r>
      <w:proofErr w:type="spellEnd"/>
      <w:r>
        <w:rPr>
          <w:rFonts w:ascii="Arial" w:hAnsi="Arial"/>
        </w:rPr>
        <w:t>, est lui aussi satisfait de la transaction: «Je suis convaincu que cette combinaison sera satisfaisante pour les deux parties.»</w:t>
      </w:r>
    </w:p>
    <w:p w14:paraId="2F9CE45D" w14:textId="77777777" w:rsidR="001F2C4D" w:rsidRPr="00B912DA" w:rsidRDefault="001F2C4D" w:rsidP="001F2C4D">
      <w:pPr>
        <w:spacing w:after="0" w:line="240" w:lineRule="auto"/>
        <w:rPr>
          <w:rFonts w:ascii="Arial" w:eastAsia="VELUXforOffice" w:hAnsi="Arial" w:cs="Arial"/>
        </w:rPr>
      </w:pPr>
    </w:p>
    <w:p w14:paraId="6942D9A0" w14:textId="22FC9689" w:rsidR="00DC146E" w:rsidRPr="00F50002" w:rsidRDefault="00E22C73" w:rsidP="007F33C9">
      <w:pPr>
        <w:spacing w:after="0" w:line="240" w:lineRule="auto"/>
        <w:rPr>
          <w:rFonts w:ascii="Arial" w:hAnsi="Arial" w:cs="Arial"/>
        </w:rPr>
      </w:pPr>
      <w:r>
        <w:rPr>
          <w:rFonts w:ascii="Arial" w:hAnsi="Arial"/>
        </w:rPr>
        <w:t>Le rachat doit encore être approuvé par les autorités allemandes et autrichiennes de la concurrence avant que la transaction ne soit définitive. Les entreprises ne publieront plus d’autres informations concernant cet accord jusqu’à ce que l’aval des autorités soit obtenu.</w:t>
      </w:r>
    </w:p>
    <w:p w14:paraId="6CD456CE" w14:textId="77777777" w:rsidR="001F2C4D" w:rsidRPr="00B912DA" w:rsidRDefault="001F2C4D" w:rsidP="007F33C9">
      <w:pPr>
        <w:spacing w:after="0" w:line="240" w:lineRule="auto"/>
        <w:rPr>
          <w:rFonts w:ascii="Arial" w:hAnsi="Arial" w:cs="Arial"/>
        </w:rPr>
      </w:pPr>
    </w:p>
    <w:p w14:paraId="5467286B" w14:textId="5F74D685" w:rsidR="004D449A" w:rsidRPr="00F50002" w:rsidRDefault="00E22C73" w:rsidP="007F33C9">
      <w:pPr>
        <w:spacing w:after="0" w:line="240" w:lineRule="auto"/>
        <w:rPr>
          <w:rFonts w:ascii="Arial" w:hAnsi="Arial" w:cs="Arial"/>
        </w:rPr>
      </w:pPr>
      <w:r>
        <w:rPr>
          <w:rFonts w:ascii="Arial" w:hAnsi="Arial"/>
        </w:rPr>
        <w:t>Compte tenu de l’approbation encore en suspens, tous les produits JET continueront d’être commercialisés sous la marque JET par l’organisation existante jusqu’à ce que tous les clients soient au courant du changement d’actionnaire et qu’une transition ordonnée à la marque VELUX ait eu lieu. La fusion devrait produire des synergies de fonctions communes et de clients importants dans les deux organisations.</w:t>
      </w:r>
    </w:p>
    <w:p w14:paraId="5CC989F1" w14:textId="3ABDC3CF" w:rsidR="009B1C6B" w:rsidRPr="007B74F7" w:rsidRDefault="009B1C6B" w:rsidP="007F33C9">
      <w:pPr>
        <w:spacing w:after="0" w:line="240" w:lineRule="auto"/>
        <w:rPr>
          <w:rFonts w:ascii="Arial" w:hAnsi="Arial" w:cs="Arial"/>
          <w:b/>
        </w:rPr>
      </w:pPr>
    </w:p>
    <w:p w14:paraId="1D0DAD33" w14:textId="30BA3E91" w:rsidR="009B1C6B" w:rsidRPr="007B74F7" w:rsidRDefault="009B1C6B" w:rsidP="007F33C9">
      <w:pPr>
        <w:spacing w:after="0" w:line="240" w:lineRule="auto"/>
        <w:rPr>
          <w:rFonts w:ascii="Arial" w:hAnsi="Arial" w:cs="Arial"/>
          <w:b/>
        </w:rPr>
      </w:pPr>
    </w:p>
    <w:p w14:paraId="04E0AD79" w14:textId="3A6BBD0B" w:rsidR="009B1C6B" w:rsidRPr="007B74F7" w:rsidRDefault="009B1C6B" w:rsidP="007F33C9">
      <w:pPr>
        <w:spacing w:after="0" w:line="240" w:lineRule="auto"/>
        <w:rPr>
          <w:rFonts w:ascii="Arial" w:hAnsi="Arial" w:cs="Arial"/>
          <w:b/>
        </w:rPr>
      </w:pPr>
    </w:p>
    <w:p w14:paraId="1471CF89" w14:textId="1E9D51FA" w:rsidR="00180E16" w:rsidRPr="00F50002" w:rsidRDefault="00F57FE8" w:rsidP="007F33C9">
      <w:pPr>
        <w:spacing w:after="0" w:line="240" w:lineRule="auto"/>
        <w:rPr>
          <w:rFonts w:cstheme="minorHAnsi"/>
          <w:sz w:val="18"/>
          <w:szCs w:val="18"/>
        </w:rPr>
      </w:pPr>
      <w:r>
        <w:rPr>
          <w:b/>
          <w:bCs/>
          <w:sz w:val="18"/>
          <w:szCs w:val="18"/>
        </w:rPr>
        <w:t>A propos du groupe VELUX</w:t>
      </w:r>
      <w:r>
        <w:rPr>
          <w:b/>
          <w:bCs/>
          <w:sz w:val="18"/>
          <w:szCs w:val="18"/>
        </w:rPr>
        <w:br/>
      </w:r>
      <w:r>
        <w:rPr>
          <w:sz w:val="18"/>
          <w:szCs w:val="18"/>
        </w:rPr>
        <w:t>Depuis plus de 75 ans, le groupe VELUX propose des améliorations destinées au cadre de vie dans le monde entier. Nous optimisons l’utilisation de la lumière naturelle et de l’air frais dans les combles. Nous sommes présents sur le marché de l’immobilier résidentiel dans le monde entier avec des sites de vente et de production dans plus de 40 pays, forts de nos quelques 10 200 collaborateurs.</w:t>
      </w:r>
      <w:r>
        <w:rPr>
          <w:sz w:val="18"/>
          <w:szCs w:val="18"/>
        </w:rPr>
        <w:br/>
        <w:t xml:space="preserve">Depuis 2012, VELUX conçoit, produit et commercialise des systèmes de fenêtres de toit préfabriqués destinés aux bâtiments commerciaux, les VELUX </w:t>
      </w:r>
      <w:proofErr w:type="spellStart"/>
      <w:r>
        <w:rPr>
          <w:sz w:val="18"/>
          <w:szCs w:val="18"/>
        </w:rPr>
        <w:t>Modular</w:t>
      </w:r>
      <w:proofErr w:type="spellEnd"/>
      <w:r>
        <w:rPr>
          <w:sz w:val="18"/>
          <w:szCs w:val="18"/>
        </w:rPr>
        <w:t xml:space="preserve"> </w:t>
      </w:r>
      <w:proofErr w:type="spellStart"/>
      <w:r>
        <w:rPr>
          <w:sz w:val="18"/>
          <w:szCs w:val="18"/>
        </w:rPr>
        <w:t>Skylights</w:t>
      </w:r>
      <w:proofErr w:type="spellEnd"/>
      <w:r>
        <w:rPr>
          <w:sz w:val="18"/>
          <w:szCs w:val="18"/>
        </w:rPr>
        <w:t>. A l’heure actuelle, le secteur d’activité commercial emploie 270 personnes et entretient des activités de ventes dans 11 pays ainsi que de sites de production au Danemark et aux Etats-Unis.</w:t>
      </w:r>
      <w:r>
        <w:rPr>
          <w:b/>
          <w:bCs/>
          <w:sz w:val="18"/>
          <w:szCs w:val="18"/>
        </w:rPr>
        <w:br/>
      </w:r>
      <w:r>
        <w:rPr>
          <w:sz w:val="18"/>
          <w:szCs w:val="18"/>
        </w:rPr>
        <w:t xml:space="preserve">Le groupe VELUX fait partie de VKR Holding A/S, une société à responsabilité limitée qui appartient entièrement à des fondations de bienfaisance d’utilité publique (LES FONDATIONS VELUX) et à la famille. En 2017, VKR Holding A/S a réalisé un chiffre d’affaires total de 2,5 milliards d’euros. Les FONDATIONS VELUX ont fait don d’un total de 168 millions d’euros en 2017. </w:t>
      </w:r>
      <w:r>
        <w:t>Consultez</w:t>
      </w:r>
      <w:r>
        <w:rPr>
          <w:sz w:val="18"/>
          <w:szCs w:val="18"/>
        </w:rPr>
        <w:t xml:space="preserve"> </w:t>
      </w:r>
      <w:hyperlink r:id="rId12" w:history="1">
        <w:r>
          <w:rPr>
            <w:rStyle w:val="Hyperlink"/>
            <w:sz w:val="18"/>
            <w:szCs w:val="18"/>
          </w:rPr>
          <w:t>www.velux.com</w:t>
        </w:r>
      </w:hyperlink>
      <w:r>
        <w:t xml:space="preserve"> pour de plus amples renseignements</w:t>
      </w:r>
      <w:r>
        <w:rPr>
          <w:sz w:val="18"/>
          <w:szCs w:val="18"/>
        </w:rPr>
        <w:t>.</w:t>
      </w:r>
    </w:p>
    <w:p w14:paraId="449E9543" w14:textId="77777777" w:rsidR="00172F2D" w:rsidRPr="00B912DA" w:rsidRDefault="00172F2D" w:rsidP="007F33C9">
      <w:pPr>
        <w:spacing w:after="0" w:line="240" w:lineRule="auto"/>
        <w:jc w:val="both"/>
        <w:rPr>
          <w:rFonts w:cstheme="minorHAnsi"/>
          <w:b/>
          <w:sz w:val="18"/>
          <w:szCs w:val="18"/>
          <w:lang w:eastAsia="de"/>
        </w:rPr>
      </w:pPr>
    </w:p>
    <w:p w14:paraId="7D6FC015" w14:textId="2262D553" w:rsidR="00471FB2" w:rsidRPr="00F50002" w:rsidRDefault="00471FB2" w:rsidP="007F33C9">
      <w:pPr>
        <w:spacing w:after="0" w:line="240" w:lineRule="auto"/>
        <w:jc w:val="both"/>
        <w:rPr>
          <w:rFonts w:cstheme="minorHAnsi"/>
          <w:b/>
          <w:sz w:val="18"/>
          <w:szCs w:val="18"/>
        </w:rPr>
      </w:pPr>
      <w:r>
        <w:rPr>
          <w:b/>
          <w:sz w:val="18"/>
          <w:szCs w:val="18"/>
        </w:rPr>
        <w:t>A propos d’</w:t>
      </w:r>
      <w:proofErr w:type="spellStart"/>
      <w:r>
        <w:rPr>
          <w:b/>
          <w:sz w:val="18"/>
          <w:szCs w:val="18"/>
        </w:rPr>
        <w:t>Egeria</w:t>
      </w:r>
      <w:proofErr w:type="spellEnd"/>
    </w:p>
    <w:p w14:paraId="4A5D05E7" w14:textId="2056A87A" w:rsidR="002356F8" w:rsidRPr="00F50002" w:rsidRDefault="00471FB2" w:rsidP="007F33C9">
      <w:pPr>
        <w:spacing w:after="0" w:line="240" w:lineRule="auto"/>
        <w:rPr>
          <w:rFonts w:eastAsia="VELUXforOffice" w:cstheme="minorHAnsi"/>
          <w:sz w:val="18"/>
          <w:szCs w:val="18"/>
          <w:u w:val="single"/>
        </w:rPr>
      </w:pPr>
      <w:r>
        <w:rPr>
          <w:sz w:val="18"/>
          <w:szCs w:val="18"/>
        </w:rPr>
        <w:t xml:space="preserve">Fondé en 1997, </w:t>
      </w:r>
      <w:proofErr w:type="spellStart"/>
      <w:r>
        <w:rPr>
          <w:sz w:val="18"/>
          <w:szCs w:val="18"/>
        </w:rPr>
        <w:t>Egeria</w:t>
      </w:r>
      <w:proofErr w:type="spellEnd"/>
      <w:r>
        <w:rPr>
          <w:sz w:val="18"/>
          <w:szCs w:val="18"/>
        </w:rPr>
        <w:t xml:space="preserve"> est un investisseur financier indépendant qui se focalise sur les PME. </w:t>
      </w:r>
      <w:proofErr w:type="spellStart"/>
      <w:r>
        <w:rPr>
          <w:sz w:val="18"/>
          <w:szCs w:val="18"/>
        </w:rPr>
        <w:t>Egeria</w:t>
      </w:r>
      <w:proofErr w:type="spellEnd"/>
      <w:r>
        <w:rPr>
          <w:sz w:val="18"/>
          <w:szCs w:val="18"/>
        </w:rPr>
        <w:t xml:space="preserve"> investit dans des entreprises en bonne santé dont la valeur est comprise entre 50 et 350 millions d’euros. </w:t>
      </w:r>
      <w:proofErr w:type="spellStart"/>
      <w:r>
        <w:rPr>
          <w:sz w:val="18"/>
          <w:szCs w:val="18"/>
        </w:rPr>
        <w:t>Egeria</w:t>
      </w:r>
      <w:proofErr w:type="spellEnd"/>
      <w:r>
        <w:rPr>
          <w:sz w:val="18"/>
          <w:szCs w:val="18"/>
        </w:rPr>
        <w:t xml:space="preserve"> dispose notamment de participations dans IQI, Dutch </w:t>
      </w:r>
      <w:proofErr w:type="spellStart"/>
      <w:r>
        <w:rPr>
          <w:sz w:val="18"/>
          <w:szCs w:val="18"/>
        </w:rPr>
        <w:t>Bakery</w:t>
      </w:r>
      <w:proofErr w:type="spellEnd"/>
      <w:r>
        <w:rPr>
          <w:sz w:val="18"/>
          <w:szCs w:val="18"/>
        </w:rPr>
        <w:t xml:space="preserve">, </w:t>
      </w:r>
      <w:proofErr w:type="spellStart"/>
      <w:r>
        <w:rPr>
          <w:sz w:val="18"/>
          <w:szCs w:val="18"/>
        </w:rPr>
        <w:t>Cleanlease</w:t>
      </w:r>
      <w:proofErr w:type="spellEnd"/>
      <w:r>
        <w:rPr>
          <w:sz w:val="18"/>
          <w:szCs w:val="18"/>
        </w:rPr>
        <w:t xml:space="preserve">, </w:t>
      </w:r>
      <w:proofErr w:type="spellStart"/>
      <w:r>
        <w:rPr>
          <w:sz w:val="18"/>
          <w:szCs w:val="18"/>
        </w:rPr>
        <w:t>Clondalkin</w:t>
      </w:r>
      <w:proofErr w:type="spellEnd"/>
      <w:r>
        <w:rPr>
          <w:sz w:val="18"/>
          <w:szCs w:val="18"/>
        </w:rPr>
        <w:t xml:space="preserve">, </w:t>
      </w:r>
      <w:proofErr w:type="spellStart"/>
      <w:r>
        <w:rPr>
          <w:sz w:val="18"/>
          <w:szCs w:val="18"/>
        </w:rPr>
        <w:t>Dynniq</w:t>
      </w:r>
      <w:proofErr w:type="spellEnd"/>
      <w:r>
        <w:rPr>
          <w:sz w:val="18"/>
          <w:szCs w:val="18"/>
        </w:rPr>
        <w:t xml:space="preserve">, </w:t>
      </w:r>
      <w:proofErr w:type="spellStart"/>
      <w:r>
        <w:rPr>
          <w:sz w:val="18"/>
          <w:szCs w:val="18"/>
        </w:rPr>
        <w:t>Ilionx</w:t>
      </w:r>
      <w:proofErr w:type="spellEnd"/>
      <w:r>
        <w:rPr>
          <w:sz w:val="18"/>
          <w:szCs w:val="18"/>
        </w:rPr>
        <w:t xml:space="preserve">, Trust, HITEC, </w:t>
      </w:r>
      <w:proofErr w:type="spellStart"/>
      <w:r>
        <w:rPr>
          <w:sz w:val="18"/>
          <w:szCs w:val="18"/>
        </w:rPr>
        <w:t>Izico</w:t>
      </w:r>
      <w:proofErr w:type="spellEnd"/>
      <w:r>
        <w:rPr>
          <w:sz w:val="18"/>
          <w:szCs w:val="18"/>
        </w:rPr>
        <w:t xml:space="preserve"> et </w:t>
      </w:r>
      <w:proofErr w:type="spellStart"/>
      <w:r>
        <w:rPr>
          <w:sz w:val="18"/>
          <w:szCs w:val="18"/>
        </w:rPr>
        <w:t>Nooteboom</w:t>
      </w:r>
      <w:proofErr w:type="spellEnd"/>
      <w:r>
        <w:rPr>
          <w:sz w:val="18"/>
          <w:szCs w:val="18"/>
        </w:rPr>
        <w:t xml:space="preserve">. Outre l’activité </w:t>
      </w:r>
      <w:proofErr w:type="spellStart"/>
      <w:r>
        <w:rPr>
          <w:sz w:val="18"/>
          <w:szCs w:val="18"/>
        </w:rPr>
        <w:t>Private</w:t>
      </w:r>
      <w:proofErr w:type="spellEnd"/>
      <w:r>
        <w:rPr>
          <w:sz w:val="18"/>
          <w:szCs w:val="18"/>
        </w:rPr>
        <w:t xml:space="preserve"> </w:t>
      </w:r>
      <w:proofErr w:type="spellStart"/>
      <w:r>
        <w:rPr>
          <w:sz w:val="18"/>
          <w:szCs w:val="18"/>
        </w:rPr>
        <w:t>Equity</w:t>
      </w:r>
      <w:proofErr w:type="spellEnd"/>
      <w:r>
        <w:rPr>
          <w:sz w:val="18"/>
          <w:szCs w:val="18"/>
        </w:rPr>
        <w:t xml:space="preserve">, </w:t>
      </w:r>
      <w:proofErr w:type="spellStart"/>
      <w:r>
        <w:rPr>
          <w:sz w:val="18"/>
          <w:szCs w:val="18"/>
        </w:rPr>
        <w:t>Egeria</w:t>
      </w:r>
      <w:proofErr w:type="spellEnd"/>
      <w:r>
        <w:rPr>
          <w:sz w:val="18"/>
          <w:szCs w:val="18"/>
        </w:rPr>
        <w:t xml:space="preserve"> détient un portefeuille Evergreen composé de cinq entreprises, </w:t>
      </w:r>
      <w:proofErr w:type="spellStart"/>
      <w:r>
        <w:rPr>
          <w:sz w:val="18"/>
          <w:szCs w:val="18"/>
        </w:rPr>
        <w:t>Egeria</w:t>
      </w:r>
      <w:proofErr w:type="spellEnd"/>
      <w:r>
        <w:rPr>
          <w:sz w:val="18"/>
          <w:szCs w:val="18"/>
        </w:rPr>
        <w:t xml:space="preserve"> Real </w:t>
      </w:r>
      <w:proofErr w:type="spellStart"/>
      <w:r>
        <w:rPr>
          <w:sz w:val="18"/>
          <w:szCs w:val="18"/>
        </w:rPr>
        <w:t>Estate</w:t>
      </w:r>
      <w:proofErr w:type="spellEnd"/>
      <w:r>
        <w:rPr>
          <w:sz w:val="18"/>
          <w:szCs w:val="18"/>
        </w:rPr>
        <w:t xml:space="preserve"> Investments et </w:t>
      </w:r>
      <w:proofErr w:type="spellStart"/>
      <w:r>
        <w:rPr>
          <w:sz w:val="18"/>
          <w:szCs w:val="18"/>
        </w:rPr>
        <w:t>Egeria</w:t>
      </w:r>
      <w:proofErr w:type="spellEnd"/>
      <w:r>
        <w:rPr>
          <w:sz w:val="18"/>
          <w:szCs w:val="18"/>
        </w:rPr>
        <w:t xml:space="preserve"> Real </w:t>
      </w:r>
      <w:proofErr w:type="spellStart"/>
      <w:r>
        <w:rPr>
          <w:sz w:val="18"/>
          <w:szCs w:val="18"/>
        </w:rPr>
        <w:t>Estate</w:t>
      </w:r>
      <w:proofErr w:type="spellEnd"/>
      <w:r>
        <w:rPr>
          <w:sz w:val="18"/>
          <w:szCs w:val="18"/>
        </w:rPr>
        <w:t xml:space="preserve"> </w:t>
      </w:r>
      <w:proofErr w:type="spellStart"/>
      <w:r>
        <w:rPr>
          <w:sz w:val="18"/>
          <w:szCs w:val="18"/>
        </w:rPr>
        <w:t>Developments</w:t>
      </w:r>
      <w:proofErr w:type="spellEnd"/>
      <w:r>
        <w:rPr>
          <w:sz w:val="18"/>
          <w:szCs w:val="18"/>
        </w:rPr>
        <w:t>. Les entreprises du portefeuille d’</w:t>
      </w:r>
      <w:proofErr w:type="spellStart"/>
      <w:r>
        <w:rPr>
          <w:sz w:val="18"/>
          <w:szCs w:val="18"/>
        </w:rPr>
        <w:t>Egeria</w:t>
      </w:r>
      <w:proofErr w:type="spellEnd"/>
      <w:r>
        <w:rPr>
          <w:sz w:val="18"/>
          <w:szCs w:val="18"/>
        </w:rPr>
        <w:t xml:space="preserve"> réalisent un chiffre d’affaires d’au moins 2,3 milliards d’euros et emploient près de 10 000 personnes. </w:t>
      </w:r>
      <w:r>
        <w:t>Consulter</w:t>
      </w:r>
      <w:r>
        <w:rPr>
          <w:sz w:val="18"/>
          <w:szCs w:val="18"/>
        </w:rPr>
        <w:t xml:space="preserve"> </w:t>
      </w:r>
      <w:hyperlink r:id="rId13" w:history="1">
        <w:r>
          <w:rPr>
            <w:rStyle w:val="Hyperlink"/>
            <w:sz w:val="18"/>
            <w:szCs w:val="18"/>
          </w:rPr>
          <w:t>www.egeria.nl</w:t>
        </w:r>
      </w:hyperlink>
      <w:r>
        <w:rPr>
          <w:rStyle w:val="Hyperlink"/>
          <w:sz w:val="18"/>
          <w:szCs w:val="18"/>
        </w:rPr>
        <w:t xml:space="preserve"> </w:t>
      </w:r>
      <w:r>
        <w:t>pour de plus amples renseignements</w:t>
      </w:r>
      <w:r>
        <w:rPr>
          <w:sz w:val="18"/>
          <w:szCs w:val="18"/>
        </w:rPr>
        <w:t>.</w:t>
      </w:r>
    </w:p>
    <w:p w14:paraId="29362135" w14:textId="77777777" w:rsidR="00172F2D" w:rsidRPr="007B74F7" w:rsidRDefault="00172F2D" w:rsidP="007F33C9">
      <w:pPr>
        <w:spacing w:after="0" w:line="240" w:lineRule="auto"/>
        <w:rPr>
          <w:rFonts w:cstheme="minorHAnsi"/>
          <w:b/>
          <w:bCs/>
          <w:sz w:val="18"/>
          <w:szCs w:val="18"/>
        </w:rPr>
      </w:pPr>
    </w:p>
    <w:p w14:paraId="05384700" w14:textId="3DC427C2" w:rsidR="00180E16" w:rsidRPr="00F50002" w:rsidRDefault="0018664E" w:rsidP="007F33C9">
      <w:pPr>
        <w:spacing w:after="0" w:line="240" w:lineRule="auto"/>
        <w:rPr>
          <w:rFonts w:cstheme="minorHAnsi"/>
          <w:b/>
          <w:bCs/>
          <w:sz w:val="18"/>
          <w:szCs w:val="18"/>
        </w:rPr>
      </w:pPr>
      <w:r>
        <w:rPr>
          <w:b/>
          <w:bCs/>
          <w:sz w:val="18"/>
          <w:szCs w:val="18"/>
        </w:rPr>
        <w:t>A propos du groupe</w:t>
      </w:r>
      <w:r>
        <w:rPr>
          <w:sz w:val="18"/>
          <w:szCs w:val="18"/>
        </w:rPr>
        <w:t xml:space="preserve"> </w:t>
      </w:r>
      <w:r>
        <w:rPr>
          <w:b/>
          <w:bCs/>
          <w:sz w:val="18"/>
          <w:szCs w:val="18"/>
        </w:rPr>
        <w:t>JET</w:t>
      </w:r>
      <w:r>
        <w:rPr>
          <w:b/>
          <w:bCs/>
          <w:sz w:val="18"/>
          <w:szCs w:val="18"/>
        </w:rPr>
        <w:br/>
      </w:r>
      <w:r>
        <w:rPr>
          <w:sz w:val="18"/>
          <w:szCs w:val="18"/>
        </w:rPr>
        <w:t>Le groupe JET est un fournisseur européen de premier plan de solutions de lumière naturelle, de produits de ventilation et de systèmes de ventilation pour l’évacuation des fumées et de la chaleur. Les principaux produits incluent des coupoles et des fenêtres de toit continues qui sont essentiellement utilisées dans la construction commerciale et communale.</w:t>
      </w:r>
      <w:r>
        <w:rPr>
          <w:b/>
          <w:bCs/>
          <w:sz w:val="18"/>
          <w:szCs w:val="18"/>
        </w:rPr>
        <w:br/>
      </w:r>
      <w:r>
        <w:rPr>
          <w:sz w:val="18"/>
          <w:szCs w:val="18"/>
        </w:rPr>
        <w:t xml:space="preserve">Tourné vers l’international, le groupe JET est implanté à </w:t>
      </w:r>
      <w:proofErr w:type="spellStart"/>
      <w:r>
        <w:rPr>
          <w:sz w:val="18"/>
          <w:szCs w:val="18"/>
        </w:rPr>
        <w:t>Hüllhorst</w:t>
      </w:r>
      <w:proofErr w:type="spellEnd"/>
      <w:r>
        <w:rPr>
          <w:sz w:val="18"/>
          <w:szCs w:val="18"/>
        </w:rPr>
        <w:t xml:space="preserve"> (Allemagne) et emploie près de 800 personnes. Il entretient des représentations commerciales dans onze pays européens et six sites de production dans quatre pays</w:t>
      </w:r>
      <w:r>
        <w:rPr>
          <w:color w:val="000000" w:themeColor="text1"/>
          <w:sz w:val="18"/>
          <w:szCs w:val="18"/>
        </w:rPr>
        <w:t>. Consultez www.jet-group.com pour de plus amples renseignements.</w:t>
      </w:r>
    </w:p>
    <w:p w14:paraId="368163EB" w14:textId="77777777" w:rsidR="001D1B39" w:rsidRPr="00B912DA" w:rsidRDefault="001D1B39" w:rsidP="007F33C9">
      <w:pPr>
        <w:spacing w:after="0" w:line="240" w:lineRule="auto"/>
        <w:rPr>
          <w:rFonts w:cstheme="minorHAnsi"/>
          <w:b/>
          <w:bCs/>
          <w:color w:val="000000" w:themeColor="text1"/>
          <w:sz w:val="18"/>
          <w:szCs w:val="18"/>
        </w:rPr>
      </w:pPr>
    </w:p>
    <w:p w14:paraId="28234606" w14:textId="3DBCE9C1" w:rsidR="00CC5BB4" w:rsidRPr="00B912DA" w:rsidRDefault="00FD750F" w:rsidP="00B912DA">
      <w:pPr>
        <w:rPr>
          <w:rFonts w:ascii="VELUXforOffice" w:hAnsi="VELUXforOffice"/>
          <w:sz w:val="17"/>
          <w:szCs w:val="17"/>
        </w:rPr>
      </w:pPr>
      <w:r>
        <w:rPr>
          <w:b/>
          <w:bCs/>
          <w:color w:val="000000" w:themeColor="text1"/>
          <w:sz w:val="18"/>
          <w:szCs w:val="18"/>
        </w:rPr>
        <w:t>Contact</w:t>
      </w:r>
      <w:r>
        <w:rPr>
          <w:color w:val="000000" w:themeColor="text1"/>
          <w:sz w:val="18"/>
          <w:szCs w:val="18"/>
        </w:rPr>
        <w:t xml:space="preserve"> </w:t>
      </w:r>
      <w:r>
        <w:rPr>
          <w:b/>
          <w:bCs/>
          <w:color w:val="000000" w:themeColor="text1"/>
          <w:sz w:val="18"/>
          <w:szCs w:val="18"/>
        </w:rPr>
        <w:t>presse</w:t>
      </w:r>
      <w:r>
        <w:rPr>
          <w:color w:val="000000" w:themeColor="text1"/>
          <w:sz w:val="18"/>
          <w:szCs w:val="18"/>
        </w:rPr>
        <w:t>:</w:t>
      </w:r>
      <w:r>
        <w:rPr>
          <w:color w:val="000000" w:themeColor="text1"/>
          <w:sz w:val="18"/>
          <w:szCs w:val="18"/>
        </w:rPr>
        <w:br/>
      </w:r>
      <w:r>
        <w:rPr>
          <w:rFonts w:ascii="VELUXforOffice" w:hAnsi="VELUXforOffice"/>
          <w:color w:val="000000"/>
          <w:sz w:val="17"/>
          <w:szCs w:val="17"/>
        </w:rPr>
        <w:t xml:space="preserve">Gabriella Gianoli PR, </w:t>
      </w:r>
      <w:proofErr w:type="spellStart"/>
      <w:r>
        <w:rPr>
          <w:rFonts w:ascii="VELUXforOffice" w:hAnsi="VELUXforOffice"/>
          <w:color w:val="000000"/>
          <w:sz w:val="17"/>
          <w:szCs w:val="17"/>
        </w:rPr>
        <w:t>Bernastrasse</w:t>
      </w:r>
      <w:proofErr w:type="spellEnd"/>
      <w:r>
        <w:rPr>
          <w:rFonts w:ascii="VELUXforOffice" w:hAnsi="VELUXforOffice"/>
          <w:color w:val="000000"/>
          <w:sz w:val="17"/>
          <w:szCs w:val="17"/>
        </w:rPr>
        <w:t xml:space="preserve"> 6, CH-3005 Berne, tél +41 31 352 24 54, fax +41 </w:t>
      </w:r>
      <w:r w:rsidR="00B912DA">
        <w:rPr>
          <w:rFonts w:ascii="VELUXforOffice" w:hAnsi="VELUXforOffice"/>
          <w:color w:val="000000"/>
          <w:sz w:val="17"/>
          <w:szCs w:val="17"/>
        </w:rPr>
        <w:t>31 352 24 56, gianoli.pr@ggpr.ch</w:t>
      </w:r>
      <w:bookmarkStart w:id="0" w:name="_GoBack"/>
      <w:bookmarkEnd w:id="0"/>
    </w:p>
    <w:sectPr w:rsidR="00CC5BB4" w:rsidRPr="00B912DA" w:rsidSect="001D1B39">
      <w:headerReference w:type="even" r:id="rId14"/>
      <w:headerReference w:type="default" r:id="rId15"/>
      <w:footerReference w:type="even" r:id="rId16"/>
      <w:footerReference w:type="default" r:id="rId17"/>
      <w:headerReference w:type="first" r:id="rId18"/>
      <w:footerReference w:type="first" r:id="rId19"/>
      <w:pgSz w:w="11906" w:h="16838"/>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5D42" w14:textId="77777777" w:rsidR="000B40D1" w:rsidRDefault="000B40D1" w:rsidP="006C38C0">
      <w:pPr>
        <w:spacing w:after="0" w:line="240" w:lineRule="auto"/>
      </w:pPr>
      <w:r>
        <w:separator/>
      </w:r>
    </w:p>
  </w:endnote>
  <w:endnote w:type="continuationSeparator" w:id="0">
    <w:p w14:paraId="73A13611" w14:textId="77777777" w:rsidR="000B40D1" w:rsidRDefault="000B40D1" w:rsidP="006C38C0">
      <w:pPr>
        <w:spacing w:after="0" w:line="240" w:lineRule="auto"/>
      </w:pPr>
      <w:r>
        <w:continuationSeparator/>
      </w:r>
    </w:p>
  </w:endnote>
  <w:endnote w:type="continuationNotice" w:id="1">
    <w:p w14:paraId="52D8CC93" w14:textId="77777777" w:rsidR="000B40D1" w:rsidRDefault="000B4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LUXforOffice">
    <w:altName w:val="Times New Roman"/>
    <w:panose1 w:val="02000506030000020004"/>
    <w:charset w:val="00"/>
    <w:family w:val="auto"/>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3A" w14:textId="77777777" w:rsidR="007B74F7" w:rsidRDefault="007B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545" w14:textId="77777777" w:rsidR="007B74F7" w:rsidRDefault="007B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8F76" w14:textId="77777777" w:rsidR="007B74F7" w:rsidRDefault="007B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9F71" w14:textId="77777777" w:rsidR="000B40D1" w:rsidRDefault="000B40D1" w:rsidP="006C38C0">
      <w:pPr>
        <w:spacing w:after="0" w:line="240" w:lineRule="auto"/>
      </w:pPr>
      <w:r>
        <w:separator/>
      </w:r>
    </w:p>
  </w:footnote>
  <w:footnote w:type="continuationSeparator" w:id="0">
    <w:p w14:paraId="38EA65D5" w14:textId="77777777" w:rsidR="000B40D1" w:rsidRDefault="000B40D1" w:rsidP="006C38C0">
      <w:pPr>
        <w:spacing w:after="0" w:line="240" w:lineRule="auto"/>
      </w:pPr>
      <w:r>
        <w:continuationSeparator/>
      </w:r>
    </w:p>
  </w:footnote>
  <w:footnote w:type="continuationNotice" w:id="1">
    <w:p w14:paraId="33CA1B34" w14:textId="77777777" w:rsidR="000B40D1" w:rsidRDefault="000B4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6154" w14:textId="77777777" w:rsidR="007B74F7" w:rsidRDefault="007B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09"/>
      <w:gridCol w:w="3209"/>
      <w:gridCol w:w="3216"/>
    </w:tblGrid>
    <w:tr w:rsidR="00FD750F" w14:paraId="229F77F7" w14:textId="77777777" w:rsidTr="00AA3825">
      <w:tc>
        <w:tcPr>
          <w:tcW w:w="3209" w:type="dxa"/>
          <w:vAlign w:val="bottom"/>
        </w:tcPr>
        <w:p w14:paraId="3E0787FB" w14:textId="0C83E1BD" w:rsidR="00FD750F" w:rsidRDefault="00FD750F" w:rsidP="00AA3825">
          <w:pPr>
            <w:pStyle w:val="Header"/>
            <w:jc w:val="center"/>
          </w:pPr>
          <w:r>
            <w:rPr>
              <w:noProof/>
              <w:lang w:val="de-CH" w:eastAsia="de-CH"/>
            </w:rPr>
            <w:drawing>
              <wp:inline distT="0" distB="0" distL="0" distR="0" wp14:anchorId="1F55CA71" wp14:editId="04D940C8">
                <wp:extent cx="1612900" cy="533400"/>
                <wp:effectExtent l="0" t="0" r="0" b="0"/>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_log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533400"/>
                        </a:xfrm>
                        <a:prstGeom prst="rect">
                          <a:avLst/>
                        </a:prstGeom>
                      </pic:spPr>
                    </pic:pic>
                  </a:graphicData>
                </a:graphic>
              </wp:inline>
            </w:drawing>
          </w:r>
        </w:p>
      </w:tc>
      <w:tc>
        <w:tcPr>
          <w:tcW w:w="3209" w:type="dxa"/>
          <w:vAlign w:val="bottom"/>
        </w:tcPr>
        <w:p w14:paraId="41F8889E" w14:textId="09C7594A" w:rsidR="00FD750F" w:rsidRPr="00AA3825" w:rsidRDefault="00FD750F" w:rsidP="00AA3825">
          <w:pPr>
            <w:jc w:val="center"/>
          </w:pPr>
          <w:r>
            <w:rPr>
              <w:noProof/>
              <w:lang w:val="de-CH" w:eastAsia="de-CH"/>
            </w:rPr>
            <w:drawing>
              <wp:inline distT="0" distB="0" distL="0" distR="0" wp14:anchorId="0F6CB037" wp14:editId="57B0EDAB">
                <wp:extent cx="855334" cy="533400"/>
                <wp:effectExtent l="0" t="0" r="0" b="0"/>
                <wp:docPr id="26" name="Afbeelding 3" descr="Afbeeldingsresultaat voor j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dkGk_VtntpM:" descr="Afbeeldingsresultaat voor jet group"/>
                        <pic:cNvPicPr>
                          <a:picLocks noChangeAspect="1" noChangeArrowheads="1"/>
                        </pic:cNvPicPr>
                      </pic:nvPicPr>
                      <pic:blipFill rotWithShape="1">
                        <a:blip r:embed="rId2">
                          <a:extLst>
                            <a:ext uri="{28A0092B-C50C-407E-A947-70E740481C1C}">
                              <a14:useLocalDpi xmlns:a14="http://schemas.microsoft.com/office/drawing/2010/main" val="0"/>
                            </a:ext>
                          </a:extLst>
                        </a:blip>
                        <a:srcRect l="17095" t="14207" r="18109" b="13064"/>
                        <a:stretch/>
                      </pic:blipFill>
                      <pic:spPr bwMode="auto">
                        <a:xfrm>
                          <a:off x="0" y="0"/>
                          <a:ext cx="883104" cy="5507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0" w:type="dxa"/>
        </w:tcPr>
        <w:p w14:paraId="769DE678" w14:textId="63620084" w:rsidR="00FD750F" w:rsidRDefault="00FD750F" w:rsidP="00AA3825">
          <w:pPr>
            <w:pStyle w:val="Header"/>
          </w:pPr>
          <w:r>
            <w:rPr>
              <w:noProof/>
              <w:lang w:val="de-CH" w:eastAsia="de-CH"/>
            </w:rPr>
            <w:drawing>
              <wp:anchor distT="0" distB="0" distL="114300" distR="114300" simplePos="0" relativeHeight="251658240" behindDoc="0" locked="0" layoutInCell="1" allowOverlap="1" wp14:anchorId="41BAC203" wp14:editId="34B1C2CF">
                <wp:simplePos x="0" y="0"/>
                <wp:positionH relativeFrom="column">
                  <wp:posOffset>635</wp:posOffset>
                </wp:positionH>
                <wp:positionV relativeFrom="paragraph">
                  <wp:posOffset>177165</wp:posOffset>
                </wp:positionV>
                <wp:extent cx="1899285" cy="404495"/>
                <wp:effectExtent l="0" t="0" r="5715" b="1905"/>
                <wp:wrapTopAndBottom/>
                <wp:docPr id="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geria.jpg"/>
                        <pic:cNvPicPr/>
                      </pic:nvPicPr>
                      <pic:blipFill>
                        <a:blip r:embed="rId3">
                          <a:extLst>
                            <a:ext uri="{28A0092B-C50C-407E-A947-70E740481C1C}">
                              <a14:useLocalDpi xmlns:a14="http://schemas.microsoft.com/office/drawing/2010/main" val="0"/>
                            </a:ext>
                          </a:extLst>
                        </a:blip>
                        <a:stretch>
                          <a:fillRect/>
                        </a:stretch>
                      </pic:blipFill>
                      <pic:spPr>
                        <a:xfrm>
                          <a:off x="0" y="0"/>
                          <a:ext cx="1899285" cy="404495"/>
                        </a:xfrm>
                        <a:prstGeom prst="rect">
                          <a:avLst/>
                        </a:prstGeom>
                      </pic:spPr>
                    </pic:pic>
                  </a:graphicData>
                </a:graphic>
                <wp14:sizeRelH relativeFrom="margin">
                  <wp14:pctWidth>0</wp14:pctWidth>
                </wp14:sizeRelH>
                <wp14:sizeRelV relativeFrom="margin">
                  <wp14:pctHeight>0</wp14:pctHeight>
                </wp14:sizeRelV>
              </wp:anchor>
            </w:drawing>
          </w:r>
        </w:p>
      </w:tc>
    </w:tr>
  </w:tbl>
  <w:p w14:paraId="2FD37E5E" w14:textId="2AE41EF2" w:rsidR="00FD750F" w:rsidRPr="006C38C0" w:rsidRDefault="00FD750F" w:rsidP="006C38C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5E56" w14:textId="77777777" w:rsidR="007B74F7" w:rsidRDefault="007B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13479"/>
    <w:multiLevelType w:val="hybridMultilevel"/>
    <w:tmpl w:val="64602DA8"/>
    <w:lvl w:ilvl="0" w:tplc="E0FCB160">
      <w:start w:val="1"/>
      <w:numFmt w:val="bullet"/>
      <w:lvlText w:val="►"/>
      <w:lvlJc w:val="left"/>
      <w:pPr>
        <w:tabs>
          <w:tab w:val="num" w:pos="720"/>
        </w:tabs>
        <w:ind w:left="720" w:hanging="360"/>
      </w:pPr>
      <w:rPr>
        <w:rFonts w:ascii="Arial" w:hAnsi="Arial" w:hint="default"/>
      </w:rPr>
    </w:lvl>
    <w:lvl w:ilvl="1" w:tplc="3BDAA514" w:tentative="1">
      <w:start w:val="1"/>
      <w:numFmt w:val="bullet"/>
      <w:lvlText w:val="►"/>
      <w:lvlJc w:val="left"/>
      <w:pPr>
        <w:tabs>
          <w:tab w:val="num" w:pos="1440"/>
        </w:tabs>
        <w:ind w:left="1440" w:hanging="360"/>
      </w:pPr>
      <w:rPr>
        <w:rFonts w:ascii="Arial" w:hAnsi="Arial" w:hint="default"/>
      </w:rPr>
    </w:lvl>
    <w:lvl w:ilvl="2" w:tplc="7812EBF0" w:tentative="1">
      <w:start w:val="1"/>
      <w:numFmt w:val="bullet"/>
      <w:lvlText w:val="►"/>
      <w:lvlJc w:val="left"/>
      <w:pPr>
        <w:tabs>
          <w:tab w:val="num" w:pos="2160"/>
        </w:tabs>
        <w:ind w:left="2160" w:hanging="360"/>
      </w:pPr>
      <w:rPr>
        <w:rFonts w:ascii="Arial" w:hAnsi="Arial" w:hint="default"/>
      </w:rPr>
    </w:lvl>
    <w:lvl w:ilvl="3" w:tplc="D83E423C" w:tentative="1">
      <w:start w:val="1"/>
      <w:numFmt w:val="bullet"/>
      <w:lvlText w:val="►"/>
      <w:lvlJc w:val="left"/>
      <w:pPr>
        <w:tabs>
          <w:tab w:val="num" w:pos="2880"/>
        </w:tabs>
        <w:ind w:left="2880" w:hanging="360"/>
      </w:pPr>
      <w:rPr>
        <w:rFonts w:ascii="Arial" w:hAnsi="Arial" w:hint="default"/>
      </w:rPr>
    </w:lvl>
    <w:lvl w:ilvl="4" w:tplc="6DA030EC" w:tentative="1">
      <w:start w:val="1"/>
      <w:numFmt w:val="bullet"/>
      <w:lvlText w:val="►"/>
      <w:lvlJc w:val="left"/>
      <w:pPr>
        <w:tabs>
          <w:tab w:val="num" w:pos="3600"/>
        </w:tabs>
        <w:ind w:left="3600" w:hanging="360"/>
      </w:pPr>
      <w:rPr>
        <w:rFonts w:ascii="Arial" w:hAnsi="Arial" w:hint="default"/>
      </w:rPr>
    </w:lvl>
    <w:lvl w:ilvl="5" w:tplc="1DA47AB0" w:tentative="1">
      <w:start w:val="1"/>
      <w:numFmt w:val="bullet"/>
      <w:lvlText w:val="►"/>
      <w:lvlJc w:val="left"/>
      <w:pPr>
        <w:tabs>
          <w:tab w:val="num" w:pos="4320"/>
        </w:tabs>
        <w:ind w:left="4320" w:hanging="360"/>
      </w:pPr>
      <w:rPr>
        <w:rFonts w:ascii="Arial" w:hAnsi="Arial" w:hint="default"/>
      </w:rPr>
    </w:lvl>
    <w:lvl w:ilvl="6" w:tplc="0E6C9288" w:tentative="1">
      <w:start w:val="1"/>
      <w:numFmt w:val="bullet"/>
      <w:lvlText w:val="►"/>
      <w:lvlJc w:val="left"/>
      <w:pPr>
        <w:tabs>
          <w:tab w:val="num" w:pos="5040"/>
        </w:tabs>
        <w:ind w:left="5040" w:hanging="360"/>
      </w:pPr>
      <w:rPr>
        <w:rFonts w:ascii="Arial" w:hAnsi="Arial" w:hint="default"/>
      </w:rPr>
    </w:lvl>
    <w:lvl w:ilvl="7" w:tplc="DD0A4532" w:tentative="1">
      <w:start w:val="1"/>
      <w:numFmt w:val="bullet"/>
      <w:lvlText w:val="►"/>
      <w:lvlJc w:val="left"/>
      <w:pPr>
        <w:tabs>
          <w:tab w:val="num" w:pos="5760"/>
        </w:tabs>
        <w:ind w:left="5760" w:hanging="360"/>
      </w:pPr>
      <w:rPr>
        <w:rFonts w:ascii="Arial" w:hAnsi="Arial" w:hint="default"/>
      </w:rPr>
    </w:lvl>
    <w:lvl w:ilvl="8" w:tplc="20D282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C9556B"/>
    <w:multiLevelType w:val="hybridMultilevel"/>
    <w:tmpl w:val="7E088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3D"/>
    <w:rsid w:val="00013041"/>
    <w:rsid w:val="00014934"/>
    <w:rsid w:val="00072DDF"/>
    <w:rsid w:val="000778C7"/>
    <w:rsid w:val="00097ABA"/>
    <w:rsid w:val="000A2702"/>
    <w:rsid w:val="000B40D1"/>
    <w:rsid w:val="000C0189"/>
    <w:rsid w:val="000C2BB8"/>
    <w:rsid w:val="000D1789"/>
    <w:rsid w:val="000D4F1E"/>
    <w:rsid w:val="000E5284"/>
    <w:rsid w:val="000F34FF"/>
    <w:rsid w:val="00104739"/>
    <w:rsid w:val="00130FBF"/>
    <w:rsid w:val="00146B7F"/>
    <w:rsid w:val="00160A55"/>
    <w:rsid w:val="00172F2D"/>
    <w:rsid w:val="00180E16"/>
    <w:rsid w:val="0018296D"/>
    <w:rsid w:val="0018664E"/>
    <w:rsid w:val="001A0E44"/>
    <w:rsid w:val="001A35F1"/>
    <w:rsid w:val="001B037C"/>
    <w:rsid w:val="001C7FB7"/>
    <w:rsid w:val="001D1B39"/>
    <w:rsid w:val="001E7051"/>
    <w:rsid w:val="001F2C4D"/>
    <w:rsid w:val="00220C9E"/>
    <w:rsid w:val="00221D97"/>
    <w:rsid w:val="002356F8"/>
    <w:rsid w:val="00235BC6"/>
    <w:rsid w:val="002450FC"/>
    <w:rsid w:val="0025336F"/>
    <w:rsid w:val="00263296"/>
    <w:rsid w:val="00266B1F"/>
    <w:rsid w:val="00274E2C"/>
    <w:rsid w:val="00274EBE"/>
    <w:rsid w:val="00275368"/>
    <w:rsid w:val="00287F2D"/>
    <w:rsid w:val="00290A2D"/>
    <w:rsid w:val="0029113F"/>
    <w:rsid w:val="002B6B13"/>
    <w:rsid w:val="002C1200"/>
    <w:rsid w:val="002C40AE"/>
    <w:rsid w:val="002D6F74"/>
    <w:rsid w:val="002E2DCE"/>
    <w:rsid w:val="00302119"/>
    <w:rsid w:val="00303359"/>
    <w:rsid w:val="003155C6"/>
    <w:rsid w:val="00330164"/>
    <w:rsid w:val="003333D1"/>
    <w:rsid w:val="003546AD"/>
    <w:rsid w:val="0038223A"/>
    <w:rsid w:val="00390553"/>
    <w:rsid w:val="00395345"/>
    <w:rsid w:val="003A77A0"/>
    <w:rsid w:val="003D4F35"/>
    <w:rsid w:val="003E186B"/>
    <w:rsid w:val="003F7674"/>
    <w:rsid w:val="004175FF"/>
    <w:rsid w:val="00445F2C"/>
    <w:rsid w:val="00451525"/>
    <w:rsid w:val="00471FB2"/>
    <w:rsid w:val="00480D63"/>
    <w:rsid w:val="00494FD5"/>
    <w:rsid w:val="00495FB5"/>
    <w:rsid w:val="004A3CBB"/>
    <w:rsid w:val="004B01CD"/>
    <w:rsid w:val="004C3C7F"/>
    <w:rsid w:val="004C4866"/>
    <w:rsid w:val="004D449A"/>
    <w:rsid w:val="005019F9"/>
    <w:rsid w:val="00504C0A"/>
    <w:rsid w:val="00523C2E"/>
    <w:rsid w:val="0053653D"/>
    <w:rsid w:val="00537998"/>
    <w:rsid w:val="00580183"/>
    <w:rsid w:val="00584D10"/>
    <w:rsid w:val="00596629"/>
    <w:rsid w:val="005B13DC"/>
    <w:rsid w:val="005B42AF"/>
    <w:rsid w:val="005C347A"/>
    <w:rsid w:val="005D7EEB"/>
    <w:rsid w:val="005E23DD"/>
    <w:rsid w:val="005E2508"/>
    <w:rsid w:val="005F413C"/>
    <w:rsid w:val="005F7FEB"/>
    <w:rsid w:val="00605327"/>
    <w:rsid w:val="00643B02"/>
    <w:rsid w:val="00647221"/>
    <w:rsid w:val="00672BE2"/>
    <w:rsid w:val="006A0CFB"/>
    <w:rsid w:val="006B4CCB"/>
    <w:rsid w:val="006C010D"/>
    <w:rsid w:val="006C1C48"/>
    <w:rsid w:val="006C38C0"/>
    <w:rsid w:val="006D0093"/>
    <w:rsid w:val="006D5649"/>
    <w:rsid w:val="006F0D3F"/>
    <w:rsid w:val="006F1F94"/>
    <w:rsid w:val="0071521D"/>
    <w:rsid w:val="00754B0F"/>
    <w:rsid w:val="0077231D"/>
    <w:rsid w:val="00774764"/>
    <w:rsid w:val="007A28E1"/>
    <w:rsid w:val="007A3B75"/>
    <w:rsid w:val="007A5094"/>
    <w:rsid w:val="007A63F3"/>
    <w:rsid w:val="007B3188"/>
    <w:rsid w:val="007B4AF5"/>
    <w:rsid w:val="007B54D2"/>
    <w:rsid w:val="007B74F7"/>
    <w:rsid w:val="007F33C9"/>
    <w:rsid w:val="00807988"/>
    <w:rsid w:val="00826E4A"/>
    <w:rsid w:val="008362DD"/>
    <w:rsid w:val="008458FE"/>
    <w:rsid w:val="00850801"/>
    <w:rsid w:val="00867A2B"/>
    <w:rsid w:val="00876DF8"/>
    <w:rsid w:val="008944C7"/>
    <w:rsid w:val="008952BA"/>
    <w:rsid w:val="008A0F23"/>
    <w:rsid w:val="008E0DF9"/>
    <w:rsid w:val="008F2FA6"/>
    <w:rsid w:val="008F4E28"/>
    <w:rsid w:val="00906E5E"/>
    <w:rsid w:val="00907EC5"/>
    <w:rsid w:val="00956A7C"/>
    <w:rsid w:val="009704F5"/>
    <w:rsid w:val="00975ACD"/>
    <w:rsid w:val="00987C11"/>
    <w:rsid w:val="009B1C6B"/>
    <w:rsid w:val="009D6D3D"/>
    <w:rsid w:val="009E1533"/>
    <w:rsid w:val="009F1F66"/>
    <w:rsid w:val="00A2306E"/>
    <w:rsid w:val="00A26184"/>
    <w:rsid w:val="00A26D4A"/>
    <w:rsid w:val="00A276EE"/>
    <w:rsid w:val="00A30C3B"/>
    <w:rsid w:val="00A509B0"/>
    <w:rsid w:val="00A52B9C"/>
    <w:rsid w:val="00A57E9F"/>
    <w:rsid w:val="00A8532F"/>
    <w:rsid w:val="00A93EEA"/>
    <w:rsid w:val="00AA3825"/>
    <w:rsid w:val="00AC1CA3"/>
    <w:rsid w:val="00AC449C"/>
    <w:rsid w:val="00AD6B87"/>
    <w:rsid w:val="00AF6957"/>
    <w:rsid w:val="00B05B76"/>
    <w:rsid w:val="00B06781"/>
    <w:rsid w:val="00B323F8"/>
    <w:rsid w:val="00B40F7C"/>
    <w:rsid w:val="00B56127"/>
    <w:rsid w:val="00B7219A"/>
    <w:rsid w:val="00B912DA"/>
    <w:rsid w:val="00B94638"/>
    <w:rsid w:val="00BB3057"/>
    <w:rsid w:val="00BB784F"/>
    <w:rsid w:val="00BC45AF"/>
    <w:rsid w:val="00BD1AB0"/>
    <w:rsid w:val="00BD7458"/>
    <w:rsid w:val="00BE5AF2"/>
    <w:rsid w:val="00BF1B85"/>
    <w:rsid w:val="00C071E5"/>
    <w:rsid w:val="00C10450"/>
    <w:rsid w:val="00C60844"/>
    <w:rsid w:val="00C64DBB"/>
    <w:rsid w:val="00C72DCB"/>
    <w:rsid w:val="00CA0E25"/>
    <w:rsid w:val="00CB007B"/>
    <w:rsid w:val="00CB09E3"/>
    <w:rsid w:val="00CB0E29"/>
    <w:rsid w:val="00CB678E"/>
    <w:rsid w:val="00CB7189"/>
    <w:rsid w:val="00CC13B1"/>
    <w:rsid w:val="00CC5BB4"/>
    <w:rsid w:val="00CD186B"/>
    <w:rsid w:val="00CF0AB4"/>
    <w:rsid w:val="00CF575B"/>
    <w:rsid w:val="00D06E6E"/>
    <w:rsid w:val="00D377F0"/>
    <w:rsid w:val="00D6429D"/>
    <w:rsid w:val="00D82854"/>
    <w:rsid w:val="00D84083"/>
    <w:rsid w:val="00D87391"/>
    <w:rsid w:val="00D95847"/>
    <w:rsid w:val="00DC0032"/>
    <w:rsid w:val="00DC146E"/>
    <w:rsid w:val="00DC5F52"/>
    <w:rsid w:val="00DE09CB"/>
    <w:rsid w:val="00DE646D"/>
    <w:rsid w:val="00E02B54"/>
    <w:rsid w:val="00E12263"/>
    <w:rsid w:val="00E202E3"/>
    <w:rsid w:val="00E22C73"/>
    <w:rsid w:val="00E2509F"/>
    <w:rsid w:val="00E418A8"/>
    <w:rsid w:val="00E57878"/>
    <w:rsid w:val="00E6149D"/>
    <w:rsid w:val="00E63309"/>
    <w:rsid w:val="00E86D23"/>
    <w:rsid w:val="00EA09F5"/>
    <w:rsid w:val="00EA5AA6"/>
    <w:rsid w:val="00EA6EA8"/>
    <w:rsid w:val="00EB0A94"/>
    <w:rsid w:val="00EB1E49"/>
    <w:rsid w:val="00ED0B8E"/>
    <w:rsid w:val="00ED5288"/>
    <w:rsid w:val="00EE54B4"/>
    <w:rsid w:val="00EF0DC1"/>
    <w:rsid w:val="00F0295B"/>
    <w:rsid w:val="00F029A1"/>
    <w:rsid w:val="00F11410"/>
    <w:rsid w:val="00F125BB"/>
    <w:rsid w:val="00F236B5"/>
    <w:rsid w:val="00F4136E"/>
    <w:rsid w:val="00F457AC"/>
    <w:rsid w:val="00F50002"/>
    <w:rsid w:val="00F5305C"/>
    <w:rsid w:val="00F57FE8"/>
    <w:rsid w:val="00F65DA2"/>
    <w:rsid w:val="00F70346"/>
    <w:rsid w:val="00F73E99"/>
    <w:rsid w:val="00F918D8"/>
    <w:rsid w:val="00FD750F"/>
    <w:rsid w:val="00FF1611"/>
    <w:rsid w:val="02BAD3C8"/>
    <w:rsid w:val="133A84E9"/>
    <w:rsid w:val="1423C9BE"/>
    <w:rsid w:val="1CE9865C"/>
    <w:rsid w:val="1D6C3D03"/>
    <w:rsid w:val="203E2A28"/>
    <w:rsid w:val="26E5B322"/>
    <w:rsid w:val="2B92242C"/>
    <w:rsid w:val="2BFE3EDB"/>
    <w:rsid w:val="302A168B"/>
    <w:rsid w:val="302DD19D"/>
    <w:rsid w:val="307AA88E"/>
    <w:rsid w:val="32B601D4"/>
    <w:rsid w:val="38A89A0A"/>
    <w:rsid w:val="39DDD728"/>
    <w:rsid w:val="3BB608AA"/>
    <w:rsid w:val="4166E3B9"/>
    <w:rsid w:val="45F5D3D6"/>
    <w:rsid w:val="46CC4BCF"/>
    <w:rsid w:val="4C7EE0A1"/>
    <w:rsid w:val="4C992C18"/>
    <w:rsid w:val="53229433"/>
    <w:rsid w:val="55466D8C"/>
    <w:rsid w:val="57B7971E"/>
    <w:rsid w:val="58D6CB83"/>
    <w:rsid w:val="5AA4A16E"/>
    <w:rsid w:val="5D2CD41C"/>
    <w:rsid w:val="60E49CF2"/>
    <w:rsid w:val="62C71790"/>
    <w:rsid w:val="68EC31FA"/>
    <w:rsid w:val="68F5689F"/>
    <w:rsid w:val="6B231B36"/>
    <w:rsid w:val="6B2A0A0D"/>
    <w:rsid w:val="6C014BFB"/>
    <w:rsid w:val="6F3FDC04"/>
    <w:rsid w:val="75C9266A"/>
    <w:rsid w:val="791DF9E0"/>
    <w:rsid w:val="7D2102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A3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D2"/>
    <w:rPr>
      <w:rFonts w:ascii="Segoe UI" w:hAnsi="Segoe UI" w:cs="Segoe UI"/>
      <w:sz w:val="18"/>
      <w:szCs w:val="18"/>
    </w:rPr>
  </w:style>
  <w:style w:type="character" w:styleId="Hyperlink">
    <w:name w:val="Hyperlink"/>
    <w:basedOn w:val="DefaultParagraphFont"/>
    <w:uiPriority w:val="99"/>
    <w:unhideWhenUsed/>
    <w:rsid w:val="008E0DF9"/>
    <w:rPr>
      <w:color w:val="0563C1" w:themeColor="hyperlink"/>
      <w:u w:val="single"/>
    </w:rPr>
  </w:style>
  <w:style w:type="character" w:customStyle="1" w:styleId="Onopgelostemelding1">
    <w:name w:val="Onopgeloste melding1"/>
    <w:basedOn w:val="DefaultParagraphFont"/>
    <w:uiPriority w:val="99"/>
    <w:semiHidden/>
    <w:unhideWhenUsed/>
    <w:rsid w:val="008E0DF9"/>
    <w:rPr>
      <w:color w:val="808080"/>
      <w:shd w:val="clear" w:color="auto" w:fill="E6E6E6"/>
    </w:rPr>
  </w:style>
  <w:style w:type="character" w:styleId="CommentReference">
    <w:name w:val="annotation reference"/>
    <w:basedOn w:val="DefaultParagraphFont"/>
    <w:uiPriority w:val="99"/>
    <w:semiHidden/>
    <w:unhideWhenUsed/>
    <w:rsid w:val="004175FF"/>
    <w:rPr>
      <w:sz w:val="16"/>
      <w:szCs w:val="16"/>
    </w:rPr>
  </w:style>
  <w:style w:type="paragraph" w:styleId="CommentText">
    <w:name w:val="annotation text"/>
    <w:basedOn w:val="Normal"/>
    <w:link w:val="CommentTextChar"/>
    <w:uiPriority w:val="99"/>
    <w:semiHidden/>
    <w:unhideWhenUsed/>
    <w:rsid w:val="004175FF"/>
    <w:pPr>
      <w:spacing w:line="240" w:lineRule="auto"/>
    </w:pPr>
    <w:rPr>
      <w:sz w:val="20"/>
      <w:szCs w:val="20"/>
    </w:rPr>
  </w:style>
  <w:style w:type="character" w:customStyle="1" w:styleId="CommentTextChar">
    <w:name w:val="Comment Text Char"/>
    <w:basedOn w:val="DefaultParagraphFont"/>
    <w:link w:val="CommentText"/>
    <w:uiPriority w:val="99"/>
    <w:semiHidden/>
    <w:rsid w:val="004175FF"/>
    <w:rPr>
      <w:sz w:val="20"/>
      <w:szCs w:val="20"/>
    </w:rPr>
  </w:style>
  <w:style w:type="paragraph" w:styleId="CommentSubject">
    <w:name w:val="annotation subject"/>
    <w:basedOn w:val="CommentText"/>
    <w:next w:val="CommentText"/>
    <w:link w:val="CommentSubjectChar"/>
    <w:uiPriority w:val="99"/>
    <w:semiHidden/>
    <w:unhideWhenUsed/>
    <w:rsid w:val="004175FF"/>
    <w:rPr>
      <w:b/>
      <w:bCs/>
    </w:rPr>
  </w:style>
  <w:style w:type="character" w:customStyle="1" w:styleId="CommentSubjectChar">
    <w:name w:val="Comment Subject Char"/>
    <w:basedOn w:val="CommentTextChar"/>
    <w:link w:val="CommentSubject"/>
    <w:uiPriority w:val="99"/>
    <w:semiHidden/>
    <w:rsid w:val="004175FF"/>
    <w:rPr>
      <w:b/>
      <w:bCs/>
      <w:sz w:val="20"/>
      <w:szCs w:val="20"/>
    </w:rPr>
  </w:style>
  <w:style w:type="paragraph" w:styleId="ListParagraph">
    <w:name w:val="List Paragraph"/>
    <w:basedOn w:val="Normal"/>
    <w:uiPriority w:val="34"/>
    <w:qFormat/>
    <w:rsid w:val="003A77A0"/>
    <w:pPr>
      <w:ind w:left="720"/>
      <w:contextualSpacing/>
    </w:pPr>
  </w:style>
  <w:style w:type="paragraph" w:styleId="Revision">
    <w:name w:val="Revision"/>
    <w:hidden/>
    <w:uiPriority w:val="99"/>
    <w:semiHidden/>
    <w:rsid w:val="00AC1CA3"/>
    <w:pPr>
      <w:spacing w:after="0" w:line="240" w:lineRule="auto"/>
    </w:pPr>
  </w:style>
  <w:style w:type="paragraph" w:styleId="Header">
    <w:name w:val="header"/>
    <w:basedOn w:val="Normal"/>
    <w:link w:val="HeaderChar"/>
    <w:uiPriority w:val="99"/>
    <w:unhideWhenUsed/>
    <w:rsid w:val="006C38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8C0"/>
  </w:style>
  <w:style w:type="paragraph" w:styleId="Footer">
    <w:name w:val="footer"/>
    <w:basedOn w:val="Normal"/>
    <w:link w:val="FooterChar"/>
    <w:uiPriority w:val="99"/>
    <w:unhideWhenUsed/>
    <w:rsid w:val="006C38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8C0"/>
  </w:style>
  <w:style w:type="table" w:styleId="TableGrid">
    <w:name w:val="Table Grid"/>
    <w:basedOn w:val="TableNormal"/>
    <w:rsid w:val="006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38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2">
    <w:name w:val="Onopgeloste melding2"/>
    <w:basedOn w:val="DefaultParagraphFont"/>
    <w:uiPriority w:val="99"/>
    <w:semiHidden/>
    <w:unhideWhenUsed/>
    <w:rsid w:val="00471FB2"/>
    <w:rPr>
      <w:color w:val="605E5C"/>
      <w:shd w:val="clear" w:color="auto" w:fill="E1DFDD"/>
    </w:rPr>
  </w:style>
  <w:style w:type="character" w:customStyle="1" w:styleId="NichtaufgelsteErwhnung1">
    <w:name w:val="Nicht aufgelöste Erwähnung1"/>
    <w:basedOn w:val="DefaultParagraphFont"/>
    <w:uiPriority w:val="99"/>
    <w:semiHidden/>
    <w:unhideWhenUsed/>
    <w:rsid w:val="00F703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6620">
      <w:bodyDiv w:val="1"/>
      <w:marLeft w:val="0"/>
      <w:marRight w:val="0"/>
      <w:marTop w:val="0"/>
      <w:marBottom w:val="0"/>
      <w:divBdr>
        <w:top w:val="none" w:sz="0" w:space="0" w:color="auto"/>
        <w:left w:val="none" w:sz="0" w:space="0" w:color="auto"/>
        <w:bottom w:val="none" w:sz="0" w:space="0" w:color="auto"/>
        <w:right w:val="none" w:sz="0" w:space="0" w:color="auto"/>
      </w:divBdr>
    </w:div>
    <w:div w:id="342754870">
      <w:bodyDiv w:val="1"/>
      <w:marLeft w:val="0"/>
      <w:marRight w:val="0"/>
      <w:marTop w:val="0"/>
      <w:marBottom w:val="0"/>
      <w:divBdr>
        <w:top w:val="none" w:sz="0" w:space="0" w:color="auto"/>
        <w:left w:val="none" w:sz="0" w:space="0" w:color="auto"/>
        <w:bottom w:val="none" w:sz="0" w:space="0" w:color="auto"/>
        <w:right w:val="none" w:sz="0" w:space="0" w:color="auto"/>
      </w:divBdr>
    </w:div>
    <w:div w:id="523907681">
      <w:bodyDiv w:val="1"/>
      <w:marLeft w:val="0"/>
      <w:marRight w:val="0"/>
      <w:marTop w:val="0"/>
      <w:marBottom w:val="0"/>
      <w:divBdr>
        <w:top w:val="none" w:sz="0" w:space="0" w:color="auto"/>
        <w:left w:val="none" w:sz="0" w:space="0" w:color="auto"/>
        <w:bottom w:val="none" w:sz="0" w:space="0" w:color="auto"/>
        <w:right w:val="none" w:sz="0" w:space="0" w:color="auto"/>
      </w:divBdr>
    </w:div>
    <w:div w:id="636035729">
      <w:bodyDiv w:val="1"/>
      <w:marLeft w:val="0"/>
      <w:marRight w:val="0"/>
      <w:marTop w:val="0"/>
      <w:marBottom w:val="0"/>
      <w:divBdr>
        <w:top w:val="none" w:sz="0" w:space="0" w:color="auto"/>
        <w:left w:val="none" w:sz="0" w:space="0" w:color="auto"/>
        <w:bottom w:val="none" w:sz="0" w:space="0" w:color="auto"/>
        <w:right w:val="none" w:sz="0" w:space="0" w:color="auto"/>
      </w:divBdr>
    </w:div>
    <w:div w:id="875504615">
      <w:bodyDiv w:val="1"/>
      <w:marLeft w:val="0"/>
      <w:marRight w:val="0"/>
      <w:marTop w:val="0"/>
      <w:marBottom w:val="0"/>
      <w:divBdr>
        <w:top w:val="none" w:sz="0" w:space="0" w:color="auto"/>
        <w:left w:val="none" w:sz="0" w:space="0" w:color="auto"/>
        <w:bottom w:val="none" w:sz="0" w:space="0" w:color="auto"/>
        <w:right w:val="none" w:sz="0" w:space="0" w:color="auto"/>
      </w:divBdr>
    </w:div>
    <w:div w:id="1294024281">
      <w:bodyDiv w:val="1"/>
      <w:marLeft w:val="0"/>
      <w:marRight w:val="0"/>
      <w:marTop w:val="0"/>
      <w:marBottom w:val="0"/>
      <w:divBdr>
        <w:top w:val="none" w:sz="0" w:space="0" w:color="auto"/>
        <w:left w:val="none" w:sz="0" w:space="0" w:color="auto"/>
        <w:bottom w:val="none" w:sz="0" w:space="0" w:color="auto"/>
        <w:right w:val="none" w:sz="0" w:space="0" w:color="auto"/>
      </w:divBdr>
      <w:divsChild>
        <w:div w:id="1241987648">
          <w:marLeft w:val="274"/>
          <w:marRight w:val="0"/>
          <w:marTop w:val="0"/>
          <w:marBottom w:val="120"/>
          <w:divBdr>
            <w:top w:val="none" w:sz="0" w:space="0" w:color="auto"/>
            <w:left w:val="none" w:sz="0" w:space="0" w:color="auto"/>
            <w:bottom w:val="none" w:sz="0" w:space="0" w:color="auto"/>
            <w:right w:val="none" w:sz="0" w:space="0" w:color="auto"/>
          </w:divBdr>
        </w:div>
      </w:divsChild>
    </w:div>
    <w:div w:id="1648435934">
      <w:bodyDiv w:val="1"/>
      <w:marLeft w:val="0"/>
      <w:marRight w:val="0"/>
      <w:marTop w:val="0"/>
      <w:marBottom w:val="0"/>
      <w:divBdr>
        <w:top w:val="none" w:sz="0" w:space="0" w:color="auto"/>
        <w:left w:val="none" w:sz="0" w:space="0" w:color="auto"/>
        <w:bottom w:val="none" w:sz="0" w:space="0" w:color="auto"/>
        <w:right w:val="none" w:sz="0" w:space="0" w:color="auto"/>
      </w:divBdr>
      <w:divsChild>
        <w:div w:id="1914389982">
          <w:marLeft w:val="0"/>
          <w:marRight w:val="0"/>
          <w:marTop w:val="0"/>
          <w:marBottom w:val="0"/>
          <w:divBdr>
            <w:top w:val="none" w:sz="0" w:space="0" w:color="auto"/>
            <w:left w:val="none" w:sz="0" w:space="0" w:color="auto"/>
            <w:bottom w:val="none" w:sz="0" w:space="0" w:color="auto"/>
            <w:right w:val="none" w:sz="0" w:space="0" w:color="auto"/>
          </w:divBdr>
          <w:divsChild>
            <w:div w:id="474294995">
              <w:marLeft w:val="0"/>
              <w:marRight w:val="0"/>
              <w:marTop w:val="0"/>
              <w:marBottom w:val="0"/>
              <w:divBdr>
                <w:top w:val="none" w:sz="0" w:space="0" w:color="auto"/>
                <w:left w:val="none" w:sz="0" w:space="0" w:color="auto"/>
                <w:bottom w:val="none" w:sz="0" w:space="0" w:color="auto"/>
                <w:right w:val="none" w:sz="0" w:space="0" w:color="auto"/>
              </w:divBdr>
              <w:divsChild>
                <w:div w:id="1358462345">
                  <w:marLeft w:val="0"/>
                  <w:marRight w:val="0"/>
                  <w:marTop w:val="0"/>
                  <w:marBottom w:val="0"/>
                  <w:divBdr>
                    <w:top w:val="none" w:sz="0" w:space="0" w:color="auto"/>
                    <w:left w:val="none" w:sz="0" w:space="0" w:color="auto"/>
                    <w:bottom w:val="none" w:sz="0" w:space="0" w:color="auto"/>
                    <w:right w:val="none" w:sz="0" w:space="0" w:color="auto"/>
                  </w:divBdr>
                  <w:divsChild>
                    <w:div w:id="1324620247">
                      <w:marLeft w:val="0"/>
                      <w:marRight w:val="0"/>
                      <w:marTop w:val="0"/>
                      <w:marBottom w:val="0"/>
                      <w:divBdr>
                        <w:top w:val="none" w:sz="0" w:space="0" w:color="auto"/>
                        <w:left w:val="none" w:sz="0" w:space="0" w:color="auto"/>
                        <w:bottom w:val="none" w:sz="0" w:space="0" w:color="auto"/>
                        <w:right w:val="none" w:sz="0" w:space="0" w:color="auto"/>
                      </w:divBdr>
                      <w:divsChild>
                        <w:div w:id="1209561561">
                          <w:marLeft w:val="0"/>
                          <w:marRight w:val="0"/>
                          <w:marTop w:val="0"/>
                          <w:marBottom w:val="0"/>
                          <w:divBdr>
                            <w:top w:val="none" w:sz="0" w:space="0" w:color="auto"/>
                            <w:left w:val="none" w:sz="0" w:space="0" w:color="auto"/>
                            <w:bottom w:val="none" w:sz="0" w:space="0" w:color="auto"/>
                            <w:right w:val="none" w:sz="0" w:space="0" w:color="auto"/>
                          </w:divBdr>
                          <w:divsChild>
                            <w:div w:id="388765466">
                              <w:marLeft w:val="0"/>
                              <w:marRight w:val="5400"/>
                              <w:marTop w:val="0"/>
                              <w:marBottom w:val="0"/>
                              <w:divBdr>
                                <w:top w:val="none" w:sz="0" w:space="0" w:color="auto"/>
                                <w:left w:val="none" w:sz="0" w:space="0" w:color="auto"/>
                                <w:bottom w:val="none" w:sz="0" w:space="0" w:color="auto"/>
                                <w:right w:val="none" w:sz="0" w:space="0" w:color="auto"/>
                              </w:divBdr>
                              <w:divsChild>
                                <w:div w:id="2054231556">
                                  <w:marLeft w:val="0"/>
                                  <w:marRight w:val="0"/>
                                  <w:marTop w:val="0"/>
                                  <w:marBottom w:val="0"/>
                                  <w:divBdr>
                                    <w:top w:val="none" w:sz="0" w:space="0" w:color="auto"/>
                                    <w:left w:val="none" w:sz="0" w:space="0" w:color="auto"/>
                                    <w:bottom w:val="none" w:sz="0" w:space="0" w:color="auto"/>
                                    <w:right w:val="none" w:sz="0" w:space="0" w:color="auto"/>
                                  </w:divBdr>
                                  <w:divsChild>
                                    <w:div w:id="1210339253">
                                      <w:marLeft w:val="0"/>
                                      <w:marRight w:val="0"/>
                                      <w:marTop w:val="0"/>
                                      <w:marBottom w:val="300"/>
                                      <w:divBdr>
                                        <w:top w:val="none" w:sz="0" w:space="0" w:color="auto"/>
                                        <w:left w:val="none" w:sz="0" w:space="0" w:color="auto"/>
                                        <w:bottom w:val="none" w:sz="0" w:space="0" w:color="auto"/>
                                        <w:right w:val="none" w:sz="0" w:space="0" w:color="auto"/>
                                      </w:divBdr>
                                      <w:divsChild>
                                        <w:div w:id="706490183">
                                          <w:marLeft w:val="0"/>
                                          <w:marRight w:val="0"/>
                                          <w:marTop w:val="0"/>
                                          <w:marBottom w:val="0"/>
                                          <w:divBdr>
                                            <w:top w:val="none" w:sz="0" w:space="0" w:color="auto"/>
                                            <w:left w:val="none" w:sz="0" w:space="0" w:color="auto"/>
                                            <w:bottom w:val="none" w:sz="0" w:space="0" w:color="auto"/>
                                            <w:right w:val="none" w:sz="0" w:space="0" w:color="auto"/>
                                          </w:divBdr>
                                          <w:divsChild>
                                            <w:div w:id="14962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614472">
      <w:bodyDiv w:val="1"/>
      <w:marLeft w:val="0"/>
      <w:marRight w:val="0"/>
      <w:marTop w:val="0"/>
      <w:marBottom w:val="0"/>
      <w:divBdr>
        <w:top w:val="none" w:sz="0" w:space="0" w:color="auto"/>
        <w:left w:val="none" w:sz="0" w:space="0" w:color="auto"/>
        <w:bottom w:val="none" w:sz="0" w:space="0" w:color="auto"/>
        <w:right w:val="none" w:sz="0" w:space="0" w:color="auto"/>
      </w:divBdr>
    </w:div>
    <w:div w:id="1958679212">
      <w:bodyDiv w:val="1"/>
      <w:marLeft w:val="0"/>
      <w:marRight w:val="0"/>
      <w:marTop w:val="0"/>
      <w:marBottom w:val="0"/>
      <w:divBdr>
        <w:top w:val="none" w:sz="0" w:space="0" w:color="auto"/>
        <w:left w:val="none" w:sz="0" w:space="0" w:color="auto"/>
        <w:bottom w:val="none" w:sz="0" w:space="0" w:color="auto"/>
        <w:right w:val="none" w:sz="0" w:space="0" w:color="auto"/>
      </w:divBdr>
    </w:div>
    <w:div w:id="19902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eria.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elux.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A5C41890B074BBE5C9C916A976AAB" ma:contentTypeVersion="11" ma:contentTypeDescription="Create a new document." ma:contentTypeScope="" ma:versionID="b49a78bfc7b1e487676bf27b34412ccb">
  <xsd:schema xmlns:xsd="http://www.w3.org/2001/XMLSchema" xmlns:xs="http://www.w3.org/2001/XMLSchema" xmlns:p="http://schemas.microsoft.com/office/2006/metadata/properties" xmlns:ns2="db4fa825-29a8-4bff-99c1-3f8166ade030" xmlns:ns3="1aa81dfe-fe9f-4990-8a25-bdcbab73bf29" targetNamespace="http://schemas.microsoft.com/office/2006/metadata/properties" ma:root="true" ma:fieldsID="71670b1637ed7d25949b1f2161afa868" ns2:_="" ns3:_="">
    <xsd:import namespace="db4fa825-29a8-4bff-99c1-3f8166ade030"/>
    <xsd:import namespace="1aa81dfe-fe9f-4990-8a25-bdcbab73bf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fa825-29a8-4bff-99c1-3f8166ade0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81dfe-fe9f-4990-8a25-bdcbab73bf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b4fa825-29a8-4bff-99c1-3f8166ade030">Velux-1268-853311058-39751</_dlc_DocId>
    <_dlc_DocIdUrl xmlns="db4fa825-29a8-4bff-99c1-3f8166ade030">
      <Url>https://velux.sharepoint.com/sites/Team-1268/_layouts/15/DocIdRedir.aspx?ID=Velux-1268-853311058-39751</Url>
      <Description>Velux-1268-853311058-39751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7E22-21A2-4EF6-96CD-7F59260662BA}"/>
</file>

<file path=customXml/itemProps2.xml><?xml version="1.0" encoding="utf-8"?>
<ds:datastoreItem xmlns:ds="http://schemas.openxmlformats.org/officeDocument/2006/customXml" ds:itemID="{AB56A96C-8D70-440B-8852-28E8686F2BF4}">
  <ds:schemaRefs>
    <ds:schemaRef ds:uri="http://purl.org/dc/dcmitype/"/>
    <ds:schemaRef ds:uri="1aa81dfe-fe9f-4990-8a25-bdcbab73bf29"/>
    <ds:schemaRef ds:uri="http://purl.org/dc/elements/1.1/"/>
    <ds:schemaRef ds:uri="http://schemas.microsoft.com/office/2006/metadata/properties"/>
    <ds:schemaRef ds:uri="db4fa825-29a8-4bff-99c1-3f8166ade03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94D9D73-A9A6-4600-A0CD-911B2CC7618F}">
  <ds:schemaRefs>
    <ds:schemaRef ds:uri="http://schemas.microsoft.com/sharepoint/v3/contenttype/forms"/>
  </ds:schemaRefs>
</ds:datastoreItem>
</file>

<file path=customXml/itemProps4.xml><?xml version="1.0" encoding="utf-8"?>
<ds:datastoreItem xmlns:ds="http://schemas.openxmlformats.org/officeDocument/2006/customXml" ds:itemID="{7FA153F3-939B-42F6-B15F-B76D5B7D8A5D}">
  <ds:schemaRefs>
    <ds:schemaRef ds:uri="http://schemas.microsoft.com/sharepoint/events"/>
  </ds:schemaRefs>
</ds:datastoreItem>
</file>

<file path=customXml/itemProps5.xml><?xml version="1.0" encoding="utf-8"?>
<ds:datastoreItem xmlns:ds="http://schemas.openxmlformats.org/officeDocument/2006/customXml" ds:itemID="{1B698F5E-CFF7-4C51-B090-1C513413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2018-10-19T11:47:00Z</dcterms:created>
  <dcterms:modified xsi:type="dcterms:W3CDTF">2018-10-26T07:53:00Z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0x010100A60A5C41890B074BBE5C9C916A976AAB</vt:lpwstr>
  </property>
  <property fmtid="{D5CDD505-2E9C-101B-9397-08002B2CF9AE}" pid="3" name="_dlc_DocIdItemGuid">
    <vt:lpwstr>6dbf7768-c31d-4166-a7e0-d390afb47cc8</vt:lpwstr>
  </property>
</Properties>
</file>